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7E96" w:rsidR="007767F5" w:rsidP="005E3457" w:rsidRDefault="0034362E" w14:paraId="6C270F54" w14:textId="366AD616">
      <w:pPr>
        <w:pStyle w:val="BodyText"/>
        <w:jc w:val="center"/>
        <w:rPr>
          <w:b/>
          <w:bCs/>
        </w:rPr>
      </w:pPr>
      <w:r w:rsidRPr="000A7E96">
        <w:rPr>
          <w:b/>
          <w:bCs/>
        </w:rPr>
        <w:t>Consent Management Platform</w:t>
      </w:r>
      <w:r w:rsidRPr="000A7E96" w:rsidR="0019076C">
        <w:rPr>
          <w:b/>
          <w:bCs/>
        </w:rPr>
        <w:t xml:space="preserve"> </w:t>
      </w:r>
      <w:r w:rsidR="005906B1">
        <w:rPr>
          <w:b/>
          <w:bCs/>
        </w:rPr>
        <w:t xml:space="preserve">(CMP) </w:t>
      </w:r>
      <w:r w:rsidRPr="000A7E96" w:rsidR="0019076C">
        <w:rPr>
          <w:b/>
          <w:bCs/>
        </w:rPr>
        <w:t>Overview</w:t>
      </w:r>
      <w:r w:rsidR="00C41261">
        <w:rPr>
          <w:b/>
          <w:bCs/>
        </w:rPr>
        <w:t xml:space="preserve"> &amp; Benefits</w:t>
      </w:r>
    </w:p>
    <w:p w:rsidRPr="005E3457" w:rsidR="005E3457" w:rsidP="005E3457" w:rsidRDefault="005E3457" w14:paraId="6781265C" w14:textId="688F2C66">
      <w:pPr>
        <w:pStyle w:val="BodyText"/>
        <w:jc w:val="left"/>
        <w:rPr>
          <w:b/>
          <w:bCs/>
          <w:i/>
          <w:iCs/>
        </w:rPr>
      </w:pPr>
      <w:r w:rsidRPr="005E3457">
        <w:rPr>
          <w:b/>
          <w:bCs/>
          <w:i/>
          <w:iCs/>
        </w:rPr>
        <w:t>Litigation Alert</w:t>
      </w:r>
      <w:r>
        <w:rPr>
          <w:b/>
          <w:bCs/>
          <w:i/>
          <w:iCs/>
        </w:rPr>
        <w:t xml:space="preserve">: </w:t>
      </w:r>
      <w:r w:rsidR="005906B1">
        <w:rPr>
          <w:b/>
          <w:bCs/>
          <w:i/>
          <w:iCs/>
        </w:rPr>
        <w:t xml:space="preserve">How do </w:t>
      </w:r>
      <w:proofErr w:type="spellStart"/>
      <w:r w:rsidR="005906B1">
        <w:rPr>
          <w:b/>
          <w:bCs/>
          <w:i/>
          <w:iCs/>
        </w:rPr>
        <w:t>CMPs</w:t>
      </w:r>
      <w:proofErr w:type="spellEnd"/>
      <w:r w:rsidR="005906B1">
        <w:rPr>
          <w:b/>
          <w:bCs/>
          <w:i/>
          <w:iCs/>
        </w:rPr>
        <w:t xml:space="preserve"> mitigate wiretapping &amp; privacy litigation risks? </w:t>
      </w:r>
    </w:p>
    <w:p w:rsidR="00AC47BA" w:rsidP="00AC47BA" w:rsidRDefault="00AC47BA" w14:paraId="1DBBA091" w14:textId="1CD0441F">
      <w:pPr>
        <w:pStyle w:val="BodyText"/>
      </w:pPr>
      <w:r>
        <w:t>California’s Invasion of Privacy Act (CIPA)</w:t>
      </w:r>
      <w:r w:rsidR="00E90B23">
        <w:t>,</w:t>
      </w:r>
      <w:r>
        <w:t xml:space="preserve"> Florida’s Security of Communications Act (</w:t>
      </w:r>
      <w:proofErr w:type="spellStart"/>
      <w:r>
        <w:t>FSCA</w:t>
      </w:r>
      <w:proofErr w:type="spellEnd"/>
      <w:r>
        <w:t>)</w:t>
      </w:r>
      <w:r w:rsidR="00E90B23">
        <w:t>,</w:t>
      </w:r>
      <w:r>
        <w:t xml:space="preserve"> and a growing patchwork of state and federal (</w:t>
      </w:r>
      <w:proofErr w:type="spellStart"/>
      <w:r>
        <w:t>ECPA</w:t>
      </w:r>
      <w:proofErr w:type="spellEnd"/>
      <w:r>
        <w:t>) wiretapping statutes have become a high-volume litigation engine. Plaintiffs increasingly allege that website technologies—such as pixels, analytics tools, session-replay scripts, A/B testing platforms, and chat widgets—constitute unlawful interception of user communications by a “third-party eavesdropper.”</w:t>
      </w:r>
    </w:p>
    <w:p w:rsidR="00AC47BA" w:rsidP="00AC47BA" w:rsidRDefault="00AC47BA" w14:paraId="51FCECF5" w14:textId="77777777">
      <w:pPr>
        <w:pStyle w:val="BodyText"/>
      </w:pPr>
      <w:r>
        <w:t>CMP failures or misconfigurations are now central to these claims. Plaintiffs argue that:</w:t>
      </w:r>
    </w:p>
    <w:p w:rsidR="00AC47BA" w:rsidP="00AC47BA" w:rsidRDefault="00AC47BA" w14:paraId="072037F8" w14:textId="77777777">
      <w:pPr>
        <w:pStyle w:val="BodyText"/>
        <w:numPr>
          <w:ilvl w:val="0"/>
          <w:numId w:val="41"/>
        </w:numPr>
      </w:pPr>
      <w:r>
        <w:t>Data collection before consent = interception without authorization</w:t>
      </w:r>
    </w:p>
    <w:p w:rsidR="00AC47BA" w:rsidP="00AC47BA" w:rsidRDefault="00AC47BA" w14:paraId="4E4D1B31" w14:textId="77777777">
      <w:pPr>
        <w:pStyle w:val="BodyText"/>
        <w:numPr>
          <w:ilvl w:val="0"/>
          <w:numId w:val="41"/>
        </w:numPr>
      </w:pPr>
      <w:r>
        <w:t xml:space="preserve">Undisclosed or inaccurately disclosed tracking = deceptive conduct constituting the underlying tort needed to invalidate </w:t>
      </w:r>
      <w:proofErr w:type="spellStart"/>
      <w:r>
        <w:t>ECPA’s</w:t>
      </w:r>
      <w:proofErr w:type="spellEnd"/>
      <w:r>
        <w:t xml:space="preserve"> single-party consent exception</w:t>
      </w:r>
    </w:p>
    <w:p w:rsidR="00AC47BA" w:rsidP="00AC47BA" w:rsidRDefault="00AC47BA" w14:paraId="7DCFDE86" w14:textId="77777777">
      <w:pPr>
        <w:pStyle w:val="BodyText"/>
        <w:numPr>
          <w:ilvl w:val="0"/>
          <w:numId w:val="41"/>
        </w:numPr>
      </w:pPr>
      <w:r>
        <w:t>Vendors receiving telemetry data = third-party wiretappers</w:t>
      </w:r>
    </w:p>
    <w:p w:rsidR="00AC47BA" w:rsidP="00AC47BA" w:rsidRDefault="00AC47BA" w14:paraId="3CDC692A" w14:textId="6B322192">
      <w:pPr>
        <w:pStyle w:val="BodyText"/>
      </w:pPr>
      <w:r>
        <w:t>The volume and severity of these suits are increasing: more than 3,000 cases have been filed in the past three years, with over 2,600 filed in California alone, not counting the numerous claims filed in small claims courts in Florida. There are likely tens of thousands of demand letters that have been sent and resolved pre-litigation. Retail, technology, and healthcare are consistently targeted, but litigation risk is effectively industry-agnostic.</w:t>
      </w:r>
    </w:p>
    <w:p w:rsidR="00AC47BA" w:rsidP="00AC47BA" w:rsidRDefault="00AC47BA" w14:paraId="21169E44" w14:textId="77777777">
      <w:pPr>
        <w:pStyle w:val="BodyText"/>
      </w:pPr>
      <w:r>
        <w:t>Potential exposure is substantial:</w:t>
      </w:r>
    </w:p>
    <w:p w:rsidR="00AC47BA" w:rsidP="00E90B23" w:rsidRDefault="00AC47BA" w14:paraId="6ACF33E9" w14:textId="77777777">
      <w:pPr>
        <w:pStyle w:val="BodyText"/>
        <w:numPr>
          <w:ilvl w:val="0"/>
          <w:numId w:val="42"/>
        </w:numPr>
      </w:pPr>
      <w:r>
        <w:t>CIPA: $5,000 per violation or triple actual damages</w:t>
      </w:r>
    </w:p>
    <w:p w:rsidR="00AC47BA" w:rsidP="00E90B23" w:rsidRDefault="00AC47BA" w14:paraId="78E6F7C0" w14:textId="77777777">
      <w:pPr>
        <w:pStyle w:val="BodyText"/>
        <w:numPr>
          <w:ilvl w:val="0"/>
          <w:numId w:val="42"/>
        </w:numPr>
      </w:pPr>
      <w:proofErr w:type="spellStart"/>
      <w:r>
        <w:t>ECPA</w:t>
      </w:r>
      <w:proofErr w:type="spellEnd"/>
      <w:r>
        <w:t>: $10,000 or $100/day (whichever is greater)</w:t>
      </w:r>
    </w:p>
    <w:p w:rsidR="00AC47BA" w:rsidP="00E90B23" w:rsidRDefault="00AC47BA" w14:paraId="10F78A19" w14:textId="35100E6A">
      <w:pPr>
        <w:pStyle w:val="BodyText"/>
        <w:numPr>
          <w:ilvl w:val="0"/>
          <w:numId w:val="42"/>
        </w:numPr>
      </w:pPr>
      <w:proofErr w:type="spellStart"/>
      <w:r>
        <w:t>FSCA</w:t>
      </w:r>
      <w:proofErr w:type="spellEnd"/>
      <w:r>
        <w:t>:</w:t>
      </w:r>
      <w:r w:rsidR="00DE65D4">
        <w:t xml:space="preserve"> $1,000 or $100/day (whichever is greater)</w:t>
      </w:r>
    </w:p>
    <w:p w:rsidRPr="00DE65D4" w:rsidR="00DE65D4" w:rsidP="00AC47BA" w:rsidRDefault="00DE65D4" w14:paraId="2B4A15B3" w14:textId="4836566D">
      <w:pPr>
        <w:pStyle w:val="BodyText"/>
        <w:rPr>
          <w:b/>
          <w:bCs/>
        </w:rPr>
      </w:pPr>
      <w:r w:rsidRPr="00DE65D4">
        <w:rPr>
          <w:b/>
          <w:bCs/>
        </w:rPr>
        <w:t>How a CMP Reduces Litigation Exposure</w:t>
      </w:r>
    </w:p>
    <w:p w:rsidR="009225E2" w:rsidP="00AC47BA" w:rsidRDefault="00AC47BA" w14:paraId="09E461CE" w14:textId="2163051C">
      <w:pPr>
        <w:pStyle w:val="BodyText"/>
      </w:pPr>
      <w:r>
        <w:t>In this environment, a well-implemented CMP is one of the strongest defensive tools available.</w:t>
      </w:r>
      <w:r w:rsidR="00DE65D4">
        <w:t xml:space="preserve"> </w:t>
      </w:r>
      <w:r w:rsidR="009225E2">
        <w:t xml:space="preserve">A cookie / consent management platform meaningfully reduces wiretapping litigation risks </w:t>
      </w:r>
      <w:r w:rsidR="00DE65D4">
        <w:t xml:space="preserve">if properly configured </w:t>
      </w:r>
      <w:r w:rsidR="009225E2">
        <w:t>by:</w:t>
      </w:r>
    </w:p>
    <w:p w:rsidR="009225E2" w:rsidP="009225E2" w:rsidRDefault="009225E2" w14:paraId="3071E2A4" w14:textId="77777777">
      <w:pPr>
        <w:pStyle w:val="BodyText"/>
        <w:numPr>
          <w:ilvl w:val="0"/>
          <w:numId w:val="40"/>
        </w:numPr>
      </w:pPr>
      <w:r>
        <w:t>Blocking tracking technologies until consent is given</w:t>
      </w:r>
    </w:p>
    <w:p w:rsidR="009225E2" w:rsidP="009225E2" w:rsidRDefault="009225E2" w14:paraId="3FA996BE" w14:textId="77777777">
      <w:pPr>
        <w:pStyle w:val="BodyText"/>
        <w:numPr>
          <w:ilvl w:val="0"/>
          <w:numId w:val="40"/>
        </w:numPr>
      </w:pPr>
      <w:r>
        <w:t>Documenting consent in an auditable way</w:t>
      </w:r>
    </w:p>
    <w:p w:rsidR="009225E2" w:rsidP="009225E2" w:rsidRDefault="009225E2" w14:paraId="36D6CDB9" w14:textId="77777777">
      <w:pPr>
        <w:pStyle w:val="BodyText"/>
        <w:numPr>
          <w:ilvl w:val="0"/>
          <w:numId w:val="40"/>
        </w:numPr>
      </w:pPr>
      <w:r>
        <w:t>Providing clear, conspicuous disclosures</w:t>
      </w:r>
    </w:p>
    <w:p w:rsidR="009225E2" w:rsidP="009225E2" w:rsidRDefault="009225E2" w14:paraId="14B52482" w14:textId="77777777">
      <w:pPr>
        <w:pStyle w:val="BodyText"/>
        <w:numPr>
          <w:ilvl w:val="0"/>
          <w:numId w:val="40"/>
        </w:numPr>
      </w:pPr>
      <w:r>
        <w:t>Reducing collection before consent</w:t>
      </w:r>
    </w:p>
    <w:p w:rsidR="009225E2" w:rsidP="009225E2" w:rsidRDefault="009225E2" w14:paraId="1A70776A" w14:textId="77777777">
      <w:pPr>
        <w:pStyle w:val="BodyText"/>
        <w:numPr>
          <w:ilvl w:val="0"/>
          <w:numId w:val="40"/>
        </w:numPr>
      </w:pPr>
      <w:r>
        <w:t>Clarifying vendor roles to defeat “third-party interceptor” theories</w:t>
      </w:r>
    </w:p>
    <w:p w:rsidR="005E3457" w:rsidP="009225E2" w:rsidRDefault="009225E2" w14:paraId="4E575C56" w14:textId="463FC0B1">
      <w:pPr>
        <w:pStyle w:val="BodyText"/>
        <w:rPr>
          <w:b/>
          <w:bCs/>
          <w:i/>
          <w:iCs/>
        </w:rPr>
      </w:pPr>
      <w:r>
        <w:lastRenderedPageBreak/>
        <w:t>In the current litigation environment—where plaintiffs’ firms aggressively target pixels, chat widgets, and session-replay tools—implementing a robust CMP is one of the strongest compliance measures a company can adopt.</w:t>
      </w:r>
    </w:p>
    <w:p w:rsidRPr="000A7E96" w:rsidR="00300043" w:rsidP="0034362E" w:rsidRDefault="00300043" w14:paraId="5D10DC6B" w14:textId="69A0C58A">
      <w:pPr>
        <w:pStyle w:val="BodyText"/>
        <w:rPr>
          <w:b/>
          <w:bCs/>
          <w:i/>
          <w:iCs/>
        </w:rPr>
      </w:pPr>
      <w:r w:rsidRPr="000A7E96">
        <w:rPr>
          <w:b/>
          <w:bCs/>
          <w:i/>
          <w:iCs/>
        </w:rPr>
        <w:t xml:space="preserve">What is a </w:t>
      </w:r>
      <w:r w:rsidR="00DE65D4">
        <w:rPr>
          <w:b/>
          <w:bCs/>
          <w:i/>
          <w:iCs/>
        </w:rPr>
        <w:t>CMP</w:t>
      </w:r>
      <w:r w:rsidRPr="000A7E96">
        <w:rPr>
          <w:b/>
          <w:bCs/>
          <w:i/>
          <w:iCs/>
        </w:rPr>
        <w:t>, and why</w:t>
      </w:r>
      <w:r w:rsidR="00603F19">
        <w:rPr>
          <w:b/>
          <w:bCs/>
          <w:i/>
          <w:iCs/>
        </w:rPr>
        <w:t xml:space="preserve"> is</w:t>
      </w:r>
      <w:r w:rsidRPr="000A7E96">
        <w:rPr>
          <w:b/>
          <w:bCs/>
          <w:i/>
          <w:iCs/>
        </w:rPr>
        <w:t xml:space="preserve"> it beneficial</w:t>
      </w:r>
      <w:r w:rsidR="009225E2">
        <w:rPr>
          <w:b/>
          <w:bCs/>
          <w:i/>
          <w:iCs/>
        </w:rPr>
        <w:t xml:space="preserve"> for privacy compliance</w:t>
      </w:r>
      <w:r w:rsidRPr="000A7E96">
        <w:rPr>
          <w:b/>
          <w:bCs/>
          <w:i/>
          <w:iCs/>
        </w:rPr>
        <w:t>?</w:t>
      </w:r>
    </w:p>
    <w:p w:rsidRPr="000A7E96" w:rsidR="00FF2BE5" w:rsidP="0034362E" w:rsidRDefault="00FF2BE5" w14:paraId="78846ADD" w14:textId="5CD11B4A">
      <w:pPr>
        <w:pStyle w:val="BodyText"/>
      </w:pPr>
      <w:r w:rsidRPr="000A7E96">
        <w:t>C</w:t>
      </w:r>
      <w:r w:rsidRPr="000A7E96" w:rsidR="0034362E">
        <w:t>onsent management platform</w:t>
      </w:r>
      <w:r w:rsidRPr="000A7E96">
        <w:t>s</w:t>
      </w:r>
      <w:r w:rsidRPr="000A7E96" w:rsidR="0034362E">
        <w:t xml:space="preserve"> </w:t>
      </w:r>
      <w:r w:rsidRPr="000A7E96">
        <w:t>(</w:t>
      </w:r>
      <w:proofErr w:type="spellStart"/>
      <w:r w:rsidRPr="000A7E96">
        <w:t>CMPs</w:t>
      </w:r>
      <w:proofErr w:type="spellEnd"/>
      <w:r w:rsidRPr="000A7E96">
        <w:t xml:space="preserve">) offer software that help companies collect and manage user consents in line with data protection laws and regulations. Specifically, </w:t>
      </w:r>
      <w:proofErr w:type="spellStart"/>
      <w:r w:rsidRPr="000A7E96">
        <w:t>CMPs</w:t>
      </w:r>
      <w:proofErr w:type="spellEnd"/>
      <w:r w:rsidRPr="000A7E96">
        <w:t>:</w:t>
      </w:r>
    </w:p>
    <w:p w:rsidRPr="000A7E96" w:rsidR="00FF2BE5" w:rsidP="00FF2BE5" w:rsidRDefault="00FF2BE5" w14:paraId="69E4D0CD" w14:textId="0955A4F5">
      <w:pPr>
        <w:pStyle w:val="BodyText"/>
        <w:numPr>
          <w:ilvl w:val="0"/>
          <w:numId w:val="37"/>
        </w:numPr>
      </w:pPr>
      <w:r w:rsidRPr="000A7E96">
        <w:t xml:space="preserve">Document and manage user consent choices related to data collection, sharing, or selling from online sources </w:t>
      </w:r>
      <w:r w:rsidRPr="000A7E96" w:rsidR="001218DE">
        <w:t>(</w:t>
      </w:r>
      <w:r w:rsidRPr="000A7E96">
        <w:t xml:space="preserve">like websites </w:t>
      </w:r>
      <w:r w:rsidRPr="000A7E96" w:rsidR="001218DE">
        <w:t>using cookies).</w:t>
      </w:r>
    </w:p>
    <w:p w:rsidRPr="000A7E96" w:rsidR="001218DE" w:rsidP="00FF2BE5" w:rsidRDefault="001218DE" w14:paraId="330FF5BF" w14:textId="35A5F69D">
      <w:pPr>
        <w:pStyle w:val="BodyText"/>
        <w:numPr>
          <w:ilvl w:val="0"/>
          <w:numId w:val="37"/>
        </w:numPr>
      </w:pPr>
      <w:r w:rsidRPr="000A7E96">
        <w:t>Provide detailed information to users about tracking, data collection purposes, and requesting entities (such as the third parties providing specific cookies).</w:t>
      </w:r>
    </w:p>
    <w:p w:rsidRPr="000A7E96" w:rsidR="001218DE" w:rsidP="00FF2BE5" w:rsidRDefault="001218DE" w14:paraId="7344D6B7" w14:textId="5008B0B7">
      <w:pPr>
        <w:pStyle w:val="BodyText"/>
        <w:numPr>
          <w:ilvl w:val="0"/>
          <w:numId w:val="37"/>
        </w:numPr>
      </w:pPr>
      <w:r w:rsidRPr="000A7E96">
        <w:t>Allow users to specifically grant, refuse, or revoke consent</w:t>
      </w:r>
      <w:r w:rsidRPr="000A7E96" w:rsidR="00027F39">
        <w:t>, or exercise any applicable opt-out rights</w:t>
      </w:r>
      <w:r w:rsidRPr="000A7E96">
        <w:t>.</w:t>
      </w:r>
    </w:p>
    <w:p w:rsidRPr="005906B1" w:rsidR="00C41261" w:rsidP="001218DE" w:rsidRDefault="001218DE" w14:paraId="7F4A6181" w14:textId="51D9C0B8">
      <w:pPr>
        <w:pStyle w:val="BodyText"/>
        <w:numPr>
          <w:ilvl w:val="0"/>
          <w:numId w:val="37"/>
        </w:numPr>
      </w:pPr>
      <w:r w:rsidRPr="000A7E96">
        <w:t>Enable companies to comply with global data protection and privacy regulations, like the European Union’s GDPR or California’s CCPA by</w:t>
      </w:r>
      <w:r w:rsidRPr="000A7E96" w:rsidR="008A7781">
        <w:t xml:space="preserve"> (1) c</w:t>
      </w:r>
      <w:r w:rsidRPr="000A7E96">
        <w:t xml:space="preserve">reating granular consent records for lawful data processing and </w:t>
      </w:r>
      <w:r w:rsidRPr="000A7E96" w:rsidR="008A7781">
        <w:t>(2) p</w:t>
      </w:r>
      <w:r w:rsidRPr="000A7E96">
        <w:t xml:space="preserve">reventing cookies, pixels, and other related tracking technologies from firing without </w:t>
      </w:r>
      <w:r w:rsidRPr="000A7E96" w:rsidR="008A7781">
        <w:t>legal</w:t>
      </w:r>
      <w:r w:rsidRPr="000A7E96">
        <w:t xml:space="preserve"> consent </w:t>
      </w:r>
      <w:r w:rsidRPr="000A7E96" w:rsidR="007A0A90">
        <w:t>where it is a pre-requisite</w:t>
      </w:r>
      <w:r w:rsidRPr="000A7E96" w:rsidR="008A7781">
        <w:t>.</w:t>
      </w:r>
    </w:p>
    <w:p w:rsidRPr="000A7E96" w:rsidR="00300043" w:rsidP="001218DE" w:rsidRDefault="00C8783F" w14:paraId="2A493A8B" w14:textId="24B2ED67">
      <w:pPr>
        <w:pStyle w:val="BodyText"/>
        <w:rPr>
          <w:b/>
          <w:bCs/>
          <w:i/>
          <w:iCs/>
        </w:rPr>
      </w:pPr>
      <w:r w:rsidRPr="000A7E96">
        <w:rPr>
          <w:b/>
          <w:bCs/>
          <w:i/>
          <w:iCs/>
        </w:rPr>
        <w:t>What should a CMP solution include?</w:t>
      </w:r>
    </w:p>
    <w:p w:rsidRPr="000A7E96" w:rsidR="00AD413D" w:rsidP="001218DE" w:rsidRDefault="00445C59" w14:paraId="203084D1" w14:textId="6625F80E">
      <w:pPr>
        <w:pStyle w:val="BodyText"/>
      </w:pPr>
      <w:r w:rsidRPr="000A7E96">
        <w:t>When configuring a CMP, companies should ensure the solution includes pop-up banners</w:t>
      </w:r>
      <w:r w:rsidRPr="000A7E96" w:rsidR="007A0A90">
        <w:t>,</w:t>
      </w:r>
      <w:r w:rsidRPr="000A7E96" w:rsidR="00237048">
        <w:t xml:space="preserve"> </w:t>
      </w:r>
      <w:r w:rsidRPr="000A7E96" w:rsidR="00E31278">
        <w:t>Global Privacy Control (</w:t>
      </w:r>
      <w:r w:rsidRPr="000A7E96" w:rsidR="00237048">
        <w:t>GPC</w:t>
      </w:r>
      <w:r w:rsidRPr="000A7E96" w:rsidR="00E31278">
        <w:t>)</w:t>
      </w:r>
      <w:r w:rsidRPr="000A7E96" w:rsidR="00237048">
        <w:t xml:space="preserve"> </w:t>
      </w:r>
      <w:r w:rsidRPr="000A7E96" w:rsidR="00300043">
        <w:t>recognition</w:t>
      </w:r>
      <w:r w:rsidRPr="000A7E96" w:rsidR="007A0A90">
        <w:t>, geo-specific customization options,</w:t>
      </w:r>
      <w:r w:rsidRPr="000A7E96" w:rsidR="00300043">
        <w:t xml:space="preserve"> and</w:t>
      </w:r>
      <w:r w:rsidRPr="000A7E96" w:rsidR="00237048">
        <w:t xml:space="preserve"> </w:t>
      </w:r>
      <w:r w:rsidRPr="000A7E96" w:rsidR="007A0A90">
        <w:t xml:space="preserve">the ability to </w:t>
      </w:r>
      <w:r w:rsidRPr="000A7E96">
        <w:t xml:space="preserve">prevent all tracking activity from occurring until affirmative consent is obtained from the user </w:t>
      </w:r>
      <w:r w:rsidRPr="000A7E96" w:rsidR="007A0A90">
        <w:t>(</w:t>
      </w:r>
      <w:r w:rsidRPr="000A7E96">
        <w:t>where required</w:t>
      </w:r>
      <w:r w:rsidRPr="000A7E96" w:rsidR="007A0A90">
        <w:t>)</w:t>
      </w:r>
      <w:r w:rsidRPr="000A7E96">
        <w:t>.</w:t>
      </w:r>
      <w:r w:rsidRPr="000A7E96" w:rsidR="002651D8">
        <w:t xml:space="preserve"> </w:t>
      </w:r>
      <w:r w:rsidRPr="000A7E96" w:rsidR="00CD5297">
        <w:t xml:space="preserve">See the </w:t>
      </w:r>
      <w:r w:rsidRPr="000A7E96" w:rsidR="002651D8">
        <w:t>illustrative example</w:t>
      </w:r>
      <w:r w:rsidRPr="000A7E96" w:rsidR="00CD5297">
        <w:t xml:space="preserve"> below</w:t>
      </w:r>
      <w:r w:rsidRPr="000A7E96" w:rsidR="002651D8">
        <w:t xml:space="preserve">. </w:t>
      </w:r>
    </w:p>
    <w:p w:rsidRPr="000A7E96" w:rsidR="002651D8" w:rsidP="001218DE" w:rsidRDefault="00CD5297" w14:paraId="6A868E69" w14:textId="43701FFF">
      <w:pPr>
        <w:pStyle w:val="BodyText"/>
      </w:pPr>
      <w:r w:rsidRPr="000A7E96">
        <w:rPr>
          <w:noProof/>
        </w:rPr>
        <w:drawing>
          <wp:inline distT="0" distB="0" distL="0" distR="0" wp14:anchorId="3F8864DC" wp14:editId="47F67393">
            <wp:extent cx="5943600" cy="600075"/>
            <wp:effectExtent l="0" t="0" r="0" b="9525"/>
            <wp:docPr id="1" name="Pictur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10256" b="8975"/>
                    <a:stretch/>
                  </pic:blipFill>
                  <pic:spPr bwMode="auto">
                    <a:xfrm>
                      <a:off x="0" y="0"/>
                      <a:ext cx="5943600" cy="600075"/>
                    </a:xfrm>
                    <a:prstGeom prst="rect">
                      <a:avLst/>
                    </a:prstGeom>
                    <a:ln>
                      <a:noFill/>
                    </a:ln>
                    <a:extLst>
                      <a:ext uri="{53640926-AAD7-44D8-BBD7-CCE9431645EC}">
                        <a14:shadowObscured xmlns:a14="http://schemas.microsoft.com/office/drawing/2010/main"/>
                      </a:ext>
                    </a:extLst>
                  </pic:spPr>
                </pic:pic>
              </a:graphicData>
            </a:graphic>
          </wp:inline>
        </w:drawing>
      </w:r>
    </w:p>
    <w:p w:rsidRPr="000A7E96" w:rsidR="00C8783F" w:rsidP="0034362E" w:rsidRDefault="00C8783F" w14:paraId="25C7171E" w14:textId="70DD4BB7">
      <w:pPr>
        <w:pStyle w:val="BodyText"/>
        <w:rPr>
          <w:b/>
          <w:bCs/>
          <w:i/>
          <w:iCs/>
        </w:rPr>
      </w:pPr>
      <w:r w:rsidRPr="000A7E96">
        <w:rPr>
          <w:b/>
          <w:bCs/>
          <w:i/>
          <w:iCs/>
        </w:rPr>
        <w:t>What should my company consider while evaluating and selecting a CMP solution?</w:t>
      </w:r>
    </w:p>
    <w:p w:rsidRPr="000A7E96" w:rsidR="003515DB" w:rsidP="0034362E" w:rsidRDefault="0019076C" w14:paraId="5CB659A0" w14:textId="6BA14AFF">
      <w:pPr>
        <w:pStyle w:val="BodyText"/>
      </w:pPr>
      <w:r w:rsidRPr="000A7E96">
        <w:t>S</w:t>
      </w:r>
      <w:r w:rsidRPr="000A7E96" w:rsidR="003515DB">
        <w:t xml:space="preserve">election criteria to consider when evaluating and comparing CMP options include: </w:t>
      </w:r>
    </w:p>
    <w:p w:rsidR="00603F19" w:rsidP="007C4078" w:rsidRDefault="000445FA" w14:paraId="6CF8BEC5" w14:textId="393DCA40">
      <w:pPr>
        <w:pStyle w:val="BodyText"/>
        <w:numPr>
          <w:ilvl w:val="0"/>
          <w:numId w:val="35"/>
        </w:numPr>
        <w:rPr>
          <w:b/>
          <w:bCs/>
        </w:rPr>
      </w:pPr>
      <w:r w:rsidRPr="000A7E96">
        <w:rPr>
          <w:u w:val="single"/>
        </w:rPr>
        <w:t>Customization</w:t>
      </w:r>
      <w:r w:rsidRPr="000A7E96" w:rsidR="000120EB">
        <w:t>:</w:t>
      </w:r>
      <w:r w:rsidRPr="000A7E96" w:rsidR="00A82397">
        <w:t xml:space="preserve"> </w:t>
      </w:r>
      <w:r w:rsidRPr="000A7E96" w:rsidR="000120EB">
        <w:t>D</w:t>
      </w:r>
      <w:r w:rsidRPr="000A7E96" w:rsidR="00A82397">
        <w:t>o</w:t>
      </w:r>
      <w:r w:rsidRPr="000A7E96">
        <w:t>es the CMP</w:t>
      </w:r>
      <w:r w:rsidRPr="000A7E96" w:rsidR="00A82397">
        <w:t xml:space="preserve"> offer </w:t>
      </w:r>
      <w:r w:rsidRPr="000A7E96" w:rsidR="00EE5342">
        <w:t xml:space="preserve">geo-specific configuration options </w:t>
      </w:r>
      <w:r w:rsidRPr="000A7E96" w:rsidR="00A82397">
        <w:t xml:space="preserve">to </w:t>
      </w:r>
      <w:r w:rsidRPr="000A7E96" w:rsidR="00EE5342">
        <w:t>satisfy</w:t>
      </w:r>
      <w:r w:rsidRPr="000A7E96" w:rsidR="00A82397">
        <w:t xml:space="preserve"> jurisdiction-specific </w:t>
      </w:r>
      <w:r w:rsidRPr="000A7E96" w:rsidR="00EE5342">
        <w:t>requirements (e.g., CCPA in California)</w:t>
      </w:r>
      <w:r w:rsidRPr="000A7E96" w:rsidR="000120EB">
        <w:t>,</w:t>
      </w:r>
      <w:r w:rsidRPr="000A7E96" w:rsidR="00A82397">
        <w:t xml:space="preserve"> </w:t>
      </w:r>
      <w:r w:rsidRPr="000A7E96" w:rsidR="00EE5342">
        <w:t xml:space="preserve">including </w:t>
      </w:r>
      <w:r w:rsidRPr="000A7E96" w:rsidR="00C77594">
        <w:t>language translation where necessary?</w:t>
      </w:r>
      <w:r w:rsidRPr="000A7E96" w:rsidR="00D23D3F">
        <w:t xml:space="preserve"> Does it offer the option to link to the company privacy or cookie policy and/or incorporate a “Do Not Sell</w:t>
      </w:r>
      <w:r w:rsidRPr="000A7E96" w:rsidR="007A0A90">
        <w:t xml:space="preserve"> or Share</w:t>
      </w:r>
      <w:r w:rsidRPr="000A7E96" w:rsidR="00D23D3F">
        <w:t>” link where required</w:t>
      </w:r>
      <w:r w:rsidRPr="000A7E96" w:rsidR="007C4078">
        <w:t>?</w:t>
      </w:r>
      <w:r w:rsidRPr="000A7E96" w:rsidR="007C4078">
        <w:rPr>
          <w:b/>
          <w:bCs/>
        </w:rPr>
        <w:t xml:space="preserve"> </w:t>
      </w:r>
      <w:r w:rsidRPr="00CC3A98" w:rsidR="00CC3A98">
        <w:t>Does it honor symmetry of choice requirements where required (e.g., California) by offering three buttons: accept all, reject all, and settings/preferences customization?</w:t>
      </w:r>
      <w:r w:rsidR="00471479">
        <w:t xml:space="preserve"> If you’d like to offer more nuanced, jurisdiction-specific configurations, please let us know and we can advise.</w:t>
      </w:r>
    </w:p>
    <w:p w:rsidRPr="000A7E96" w:rsidR="00A82397" w:rsidP="00D06B0B" w:rsidRDefault="00C77594" w14:paraId="571C01C7" w14:textId="319C52AF">
      <w:pPr>
        <w:pStyle w:val="BodyText"/>
        <w:numPr>
          <w:ilvl w:val="0"/>
          <w:numId w:val="35"/>
        </w:numPr>
      </w:pPr>
      <w:r w:rsidRPr="000A7E96">
        <w:rPr>
          <w:u w:val="single"/>
        </w:rPr>
        <w:lastRenderedPageBreak/>
        <w:t>Compatibility</w:t>
      </w:r>
      <w:r w:rsidRPr="000A7E96" w:rsidR="00630544">
        <w:rPr>
          <w:u w:val="single"/>
        </w:rPr>
        <w:t>, Scalability, &amp; Pricing</w:t>
      </w:r>
      <w:r w:rsidRPr="000A7E96">
        <w:t>:</w:t>
      </w:r>
      <w:r w:rsidRPr="000A7E96" w:rsidR="00D9007F">
        <w:t xml:space="preserve"> Is it compatible, and offer sufficient control over, the </w:t>
      </w:r>
      <w:r w:rsidRPr="000A7E96" w:rsidR="00EE5342">
        <w:t xml:space="preserve">tracking technologies used by the company </w:t>
      </w:r>
      <w:r w:rsidRPr="000A7E96" w:rsidR="00630544">
        <w:t xml:space="preserve">(e.g., </w:t>
      </w:r>
      <w:r w:rsidRPr="000A7E96" w:rsidR="00D9007F">
        <w:t xml:space="preserve">cookies, pixels, and any </w:t>
      </w:r>
      <w:r w:rsidRPr="000A7E96" w:rsidR="008045AA">
        <w:t>provider</w:t>
      </w:r>
      <w:r w:rsidRPr="000A7E96" w:rsidR="00D9007F">
        <w:t xml:space="preserve">-specific compatibility requirements like </w:t>
      </w:r>
      <w:hyperlink w:history="1" r:id="rId8">
        <w:r w:rsidRPr="000A7E96" w:rsidR="000120EB">
          <w:rPr>
            <w:rStyle w:val="Hyperlink"/>
          </w:rPr>
          <w:t>Google</w:t>
        </w:r>
        <w:r w:rsidRPr="000A7E96" w:rsidR="00D9007F">
          <w:rPr>
            <w:rStyle w:val="Hyperlink"/>
          </w:rPr>
          <w:t xml:space="preserve">’s Consent Mode </w:t>
        </w:r>
        <w:proofErr w:type="spellStart"/>
        <w:r w:rsidRPr="000A7E96" w:rsidR="00D9007F">
          <w:rPr>
            <w:rStyle w:val="Hyperlink"/>
          </w:rPr>
          <w:t>v2</w:t>
        </w:r>
        <w:proofErr w:type="spellEnd"/>
      </w:hyperlink>
      <w:r w:rsidRPr="000A7E96" w:rsidR="00630544">
        <w:t>)</w:t>
      </w:r>
      <w:r w:rsidRPr="000A7E96" w:rsidR="000120EB">
        <w:t>?</w:t>
      </w:r>
      <w:r w:rsidRPr="000A7E96" w:rsidR="00630544">
        <w:t xml:space="preserve"> Is it affordable and scalable, especially if multiple domains </w:t>
      </w:r>
      <w:r w:rsidRPr="000A7E96" w:rsidR="00D23D3F">
        <w:t xml:space="preserve">are </w:t>
      </w:r>
      <w:r w:rsidRPr="000A7E96" w:rsidR="00630544">
        <w:t>involved?</w:t>
      </w:r>
      <w:r w:rsidR="00CC3A98">
        <w:t xml:space="preserve"> Does it recognize and honor Global Privacy Control (GPC) signals?</w:t>
      </w:r>
    </w:p>
    <w:p w:rsidRPr="000A7E96" w:rsidR="00B567F0" w:rsidP="00DB277A" w:rsidRDefault="00B567F0" w14:paraId="462F6BAD" w14:textId="4A8B93B8">
      <w:pPr>
        <w:pStyle w:val="BodyText"/>
        <w:numPr>
          <w:ilvl w:val="0"/>
          <w:numId w:val="35"/>
        </w:numPr>
      </w:pPr>
      <w:r w:rsidRPr="000A7E96">
        <w:rPr>
          <w:u w:val="single"/>
        </w:rPr>
        <w:t>Vendor Terms and Support</w:t>
      </w:r>
      <w:r w:rsidRPr="000A7E96">
        <w:t xml:space="preserve">: What commitments and representations </w:t>
      </w:r>
      <w:r w:rsidRPr="000A7E96" w:rsidR="00E31278">
        <w:t>does</w:t>
      </w:r>
      <w:r w:rsidRPr="000A7E96">
        <w:t xml:space="preserve"> the CMP provider mak</w:t>
      </w:r>
      <w:r w:rsidRPr="000A7E96" w:rsidR="00E31278">
        <w:t>e</w:t>
      </w:r>
      <w:r w:rsidRPr="000A7E96">
        <w:t xml:space="preserve"> in its contract and terms and conditions? Do they offer any assurances around compliance with certain laws (e.g., GDPR, CCPA)? Do they make any commitment to ensuring the longevity of the CMP via periodic updates, particularly when new jurisdictions come online with CMP-related requirements (e.g., new state laws)?</w:t>
      </w:r>
    </w:p>
    <w:p w:rsidRPr="000A7E96" w:rsidR="00DB277A" w:rsidP="00DB277A" w:rsidRDefault="000120EB" w14:paraId="1ACA7078" w14:textId="65923303">
      <w:pPr>
        <w:pStyle w:val="BodyText"/>
        <w:numPr>
          <w:ilvl w:val="0"/>
          <w:numId w:val="35"/>
        </w:numPr>
      </w:pPr>
      <w:r w:rsidRPr="000A7E96">
        <w:rPr>
          <w:u w:val="single"/>
        </w:rPr>
        <w:t>Ease of Use</w:t>
      </w:r>
      <w:r w:rsidRPr="000A7E96">
        <w:t>: Is the interface user-friendly</w:t>
      </w:r>
      <w:r w:rsidRPr="000A7E96" w:rsidR="00237048">
        <w:t>, both internally (e.g., for the IT team configuring it)</w:t>
      </w:r>
      <w:r w:rsidRPr="000A7E96">
        <w:t xml:space="preserve"> and </w:t>
      </w:r>
      <w:r w:rsidRPr="000A7E96" w:rsidR="00237048">
        <w:t xml:space="preserve">externally (e.g., website users)? For external users, does it </w:t>
      </w:r>
      <w:r w:rsidRPr="000A7E96">
        <w:t xml:space="preserve">offer </w:t>
      </w:r>
      <w:r w:rsidRPr="000A7E96" w:rsidR="00237048">
        <w:t xml:space="preserve">them </w:t>
      </w:r>
      <w:r w:rsidRPr="000A7E96">
        <w:t xml:space="preserve">the information </w:t>
      </w:r>
      <w:r w:rsidRPr="000A7E96" w:rsidR="00237048">
        <w:t>needed</w:t>
      </w:r>
      <w:r w:rsidRPr="000A7E96">
        <w:t xml:space="preserve"> to make an informed decision</w:t>
      </w:r>
      <w:r w:rsidRPr="000A7E96" w:rsidR="000445FA">
        <w:t xml:space="preserve"> (</w:t>
      </w:r>
      <w:r w:rsidRPr="000A7E96">
        <w:t>such as a</w:t>
      </w:r>
      <w:r w:rsidRPr="000A7E96" w:rsidR="00DB277A">
        <w:t>utomatic cookie categorization</w:t>
      </w:r>
      <w:r w:rsidRPr="000A7E96">
        <w:t xml:space="preserve"> and third-party provider i</w:t>
      </w:r>
      <w:r w:rsidRPr="000A7E96" w:rsidR="000445FA">
        <w:t>dentification)</w:t>
      </w:r>
      <w:r w:rsidRPr="000A7E96" w:rsidR="00BD6150">
        <w:t xml:space="preserve">, and does it comply with current guidance on symmetry of choice by offering a clear opt-out option </w:t>
      </w:r>
      <w:r w:rsidR="00CC3A98">
        <w:t xml:space="preserve">(i.e., reject all) </w:t>
      </w:r>
      <w:r w:rsidRPr="000A7E96" w:rsidR="00BD6150">
        <w:t>and an accessible way for users to manage their cookie preferences?</w:t>
      </w:r>
    </w:p>
    <w:p w:rsidRPr="000A7E96" w:rsidR="003463A2" w:rsidP="0019076C" w:rsidRDefault="00237048" w14:paraId="7AAF308F" w14:textId="72B57166">
      <w:pPr>
        <w:pStyle w:val="BodyText"/>
        <w:numPr>
          <w:ilvl w:val="0"/>
          <w:numId w:val="35"/>
        </w:numPr>
      </w:pPr>
      <w:r w:rsidRPr="000A7E96">
        <w:rPr>
          <w:u w:val="single"/>
        </w:rPr>
        <w:t>User Choice Logs</w:t>
      </w:r>
      <w:r w:rsidRPr="000A7E96" w:rsidR="000120EB">
        <w:t xml:space="preserve">: Does it create and store </w:t>
      </w:r>
      <w:r w:rsidRPr="000A7E96">
        <w:t xml:space="preserve">logs regarding </w:t>
      </w:r>
      <w:r w:rsidRPr="000A7E96" w:rsidR="000120EB">
        <w:t xml:space="preserve">the granular </w:t>
      </w:r>
      <w:r w:rsidRPr="000A7E96">
        <w:t>choices users make (e.g., to accept or reject cookies) to</w:t>
      </w:r>
      <w:r w:rsidRPr="000A7E96" w:rsidR="000120EB">
        <w:t xml:space="preserve"> demonstrate </w:t>
      </w:r>
      <w:r w:rsidRPr="000A7E96" w:rsidR="000445FA">
        <w:t xml:space="preserve">regulatory </w:t>
      </w:r>
      <w:r w:rsidRPr="000A7E96" w:rsidR="000120EB">
        <w:t xml:space="preserve">compliance </w:t>
      </w:r>
      <w:r w:rsidRPr="000A7E96">
        <w:t>on demand</w:t>
      </w:r>
      <w:r w:rsidRPr="000A7E96" w:rsidR="00630544">
        <w:t>?</w:t>
      </w:r>
    </w:p>
    <w:p w:rsidRPr="000A7E96" w:rsidR="004A1D66" w:rsidP="0019076C" w:rsidRDefault="00237048" w14:paraId="2F09DA5D" w14:textId="0FF17351">
      <w:pPr>
        <w:pStyle w:val="BodyText"/>
      </w:pPr>
      <w:r w:rsidRPr="000A7E96">
        <w:t xml:space="preserve">Some </w:t>
      </w:r>
      <w:r w:rsidRPr="000A7E96" w:rsidR="0019076C">
        <w:t>CMP options</w:t>
      </w:r>
      <w:r w:rsidRPr="000A7E96" w:rsidR="00E31278">
        <w:t xml:space="preserve"> with GPC recognition</w:t>
      </w:r>
      <w:r w:rsidRPr="000A7E96" w:rsidR="0019076C">
        <w:t xml:space="preserve"> include: </w:t>
      </w:r>
      <w:hyperlink w:history="1" r:id="rId9">
        <w:proofErr w:type="spellStart"/>
        <w:r w:rsidRPr="000A7E96" w:rsidR="0019076C">
          <w:rPr>
            <w:rStyle w:val="Hyperlink"/>
          </w:rPr>
          <w:t>TrustArc</w:t>
        </w:r>
        <w:proofErr w:type="spellEnd"/>
      </w:hyperlink>
      <w:r w:rsidRPr="000A7E96" w:rsidR="0019076C">
        <w:t xml:space="preserve">, </w:t>
      </w:r>
      <w:hyperlink w:history="1" r:id="rId10">
        <w:proofErr w:type="spellStart"/>
        <w:r w:rsidRPr="000A7E96" w:rsidR="0019076C">
          <w:rPr>
            <w:rStyle w:val="Hyperlink"/>
          </w:rPr>
          <w:t>OneTrust</w:t>
        </w:r>
        <w:proofErr w:type="spellEnd"/>
      </w:hyperlink>
      <w:r w:rsidRPr="000A7E96" w:rsidR="0019076C">
        <w:t xml:space="preserve">, </w:t>
      </w:r>
      <w:hyperlink w:history="1" r:id="rId11">
        <w:r w:rsidRPr="000A7E96" w:rsidR="0019076C">
          <w:rPr>
            <w:rStyle w:val="Hyperlink"/>
          </w:rPr>
          <w:t>Osano</w:t>
        </w:r>
      </w:hyperlink>
      <w:r w:rsidRPr="000A7E96" w:rsidR="0019076C">
        <w:t xml:space="preserve">, </w:t>
      </w:r>
      <w:hyperlink w:history="1" r:id="rId12">
        <w:r w:rsidRPr="000A7E96" w:rsidR="0019076C">
          <w:rPr>
            <w:rStyle w:val="Hyperlink"/>
          </w:rPr>
          <w:t>Ketch</w:t>
        </w:r>
      </w:hyperlink>
      <w:r w:rsidRPr="000A7E96" w:rsidR="0019076C">
        <w:t xml:space="preserve">, </w:t>
      </w:r>
      <w:hyperlink w:history="1" r:id="rId13">
        <w:r w:rsidRPr="000A7E96" w:rsidR="005020A1">
          <w:rPr>
            <w:rStyle w:val="Hyperlink"/>
          </w:rPr>
          <w:t>Transcend</w:t>
        </w:r>
      </w:hyperlink>
      <w:r w:rsidRPr="000A7E96" w:rsidR="005020A1">
        <w:t xml:space="preserve">, </w:t>
      </w:r>
      <w:r w:rsidRPr="000A7E96" w:rsidR="0019076C">
        <w:t xml:space="preserve">and </w:t>
      </w:r>
      <w:hyperlink w:history="1" r:id="rId14">
        <w:proofErr w:type="spellStart"/>
        <w:r w:rsidRPr="000A7E96" w:rsidR="0019076C">
          <w:rPr>
            <w:rStyle w:val="Hyperlink"/>
          </w:rPr>
          <w:t>CookieYes</w:t>
        </w:r>
        <w:proofErr w:type="spellEnd"/>
      </w:hyperlink>
      <w:r w:rsidRPr="000A7E96" w:rsidR="0019076C">
        <w:t>.</w:t>
      </w:r>
      <w:r w:rsidRPr="000A7E96" w:rsidR="00E31278">
        <w:t xml:space="preserve"> </w:t>
      </w:r>
    </w:p>
    <w:p w:rsidRPr="000A7E96" w:rsidR="004A1D66" w:rsidP="004A1D66" w:rsidRDefault="004A1D66" w14:paraId="091D1B92" w14:textId="61B530A9">
      <w:pPr>
        <w:pStyle w:val="BodyText"/>
        <w:jc w:val="center"/>
        <w:rPr>
          <w:b/>
          <w:bCs/>
        </w:rPr>
      </w:pPr>
      <w:r w:rsidRPr="000A7E96">
        <w:rPr>
          <w:b/>
          <w:bCs/>
        </w:rPr>
        <w:t>CMP Requirements Based on Geographic Location</w:t>
      </w:r>
    </w:p>
    <w:p w:rsidR="000A7E96" w:rsidP="00603F19" w:rsidRDefault="004A1D66" w14:paraId="70449010" w14:textId="4E85E5FE">
      <w:pPr>
        <w:pStyle w:val="BodyText"/>
        <w:rPr>
          <w:i/>
          <w:iCs/>
        </w:rPr>
      </w:pPr>
      <w:r w:rsidRPr="000A7E96">
        <w:rPr>
          <w:i/>
          <w:iCs/>
        </w:rPr>
        <w:t>Privacy-related Consent Management Platform (CMP) requirements vary across U.S. state</w:t>
      </w:r>
      <w:r w:rsidR="00CC3A98">
        <w:rPr>
          <w:i/>
          <w:iCs/>
        </w:rPr>
        <w:t xml:space="preserve"> and international</w:t>
      </w:r>
      <w:r w:rsidRPr="000A7E96">
        <w:rPr>
          <w:i/>
          <w:iCs/>
        </w:rPr>
        <w:t xml:space="preserve"> jurisdictions, with each privacy </w:t>
      </w:r>
      <w:r w:rsidR="00CC3A98">
        <w:rPr>
          <w:i/>
          <w:iCs/>
        </w:rPr>
        <w:t>law/</w:t>
      </w:r>
      <w:r w:rsidRPr="000A7E96">
        <w:rPr>
          <w:i/>
          <w:iCs/>
        </w:rPr>
        <w:t xml:space="preserve">regulation </w:t>
      </w:r>
      <w:r w:rsidR="00CC3A98">
        <w:rPr>
          <w:i/>
          <w:iCs/>
        </w:rPr>
        <w:t xml:space="preserve">often </w:t>
      </w:r>
      <w:r w:rsidRPr="000A7E96">
        <w:rPr>
          <w:i/>
          <w:iCs/>
        </w:rPr>
        <w:t xml:space="preserve">providing its own standards for how user consent must be obtained, managed, and honored. This document outlines the key CMP compliance requirements for </w:t>
      </w:r>
      <w:r w:rsidR="00CC3A98">
        <w:rPr>
          <w:i/>
          <w:iCs/>
        </w:rPr>
        <w:t>various jurisdictions</w:t>
      </w:r>
      <w:r w:rsidRPr="000A7E96">
        <w:rPr>
          <w:i/>
          <w:iCs/>
        </w:rPr>
        <w:t xml:space="preserve"> </w:t>
      </w:r>
      <w:r w:rsidR="00603F19">
        <w:rPr>
          <w:i/>
          <w:iCs/>
        </w:rPr>
        <w:t xml:space="preserve">based on </w:t>
      </w:r>
      <w:r w:rsidRPr="000A7E96">
        <w:rPr>
          <w:i/>
          <w:iCs/>
        </w:rPr>
        <w:t>enacted privacy legislation</w:t>
      </w:r>
      <w:r w:rsidR="00603F19">
        <w:rPr>
          <w:i/>
          <w:iCs/>
        </w:rPr>
        <w:t xml:space="preserve"> and related wiretapping statutes</w:t>
      </w:r>
      <w:r w:rsidR="002177BE">
        <w:rPr>
          <w:i/>
          <w:iCs/>
        </w:rPr>
        <w:t xml:space="preserve"> (each of which may have their own applicability thresholds)</w:t>
      </w:r>
      <w:r w:rsidRPr="000A7E96">
        <w:rPr>
          <w:i/>
          <w:iCs/>
        </w:rPr>
        <w:t xml:space="preserve">. </w:t>
      </w:r>
      <w:r w:rsidRPr="000A7E96" w:rsidR="000A7E96">
        <w:rPr>
          <w:i/>
          <w:iCs/>
        </w:rPr>
        <w:t>When configuring a CMP, it is important to ensure that it displays and functions in a way that complies with the legal obligations applicable to each geographic location where your website or service is accessed.</w:t>
      </w:r>
    </w:p>
    <w:p w:rsidRPr="000A7E96" w:rsidR="00353744" w:rsidP="00353744" w:rsidRDefault="00353744" w14:paraId="2AF9A01D" w14:textId="77777777">
      <w:pPr>
        <w:pStyle w:val="BodyText"/>
      </w:pPr>
      <w:r w:rsidRPr="000A7E96">
        <w:rPr>
          <w:b/>
          <w:bCs/>
        </w:rPr>
        <w:t>Opt</w:t>
      </w:r>
      <w:r>
        <w:rPr>
          <w:b/>
          <w:bCs/>
        </w:rPr>
        <w:t>-</w:t>
      </w:r>
      <w:r w:rsidRPr="000A7E96">
        <w:rPr>
          <w:b/>
          <w:bCs/>
        </w:rPr>
        <w:t xml:space="preserve">In: </w:t>
      </w:r>
      <w:r w:rsidRPr="000A7E96">
        <w:t xml:space="preserve">Third-party trackers should not fire unless/until </w:t>
      </w:r>
      <w:r>
        <w:t xml:space="preserve">a website </w:t>
      </w:r>
      <w:r w:rsidRPr="000A7E96">
        <w:t xml:space="preserve">visitor opts in to tracking by </w:t>
      </w:r>
      <w:r>
        <w:t xml:space="preserve">an </w:t>
      </w:r>
      <w:r w:rsidRPr="000A7E96">
        <w:t>action reflecting consent (e.g. clicking “accept all</w:t>
      </w:r>
      <w:r>
        <w:t>,”</w:t>
      </w:r>
      <w:r w:rsidRPr="000A7E96">
        <w:t xml:space="preserve"> moving a toggle switch to “on</w:t>
      </w:r>
      <w:r>
        <w:t>,</w:t>
      </w:r>
      <w:r w:rsidRPr="000A7E96">
        <w:t xml:space="preserve">” or </w:t>
      </w:r>
      <w:r>
        <w:t>opting in to these</w:t>
      </w:r>
      <w:r w:rsidRPr="000A7E96">
        <w:t xml:space="preserve"> types of trackers in a “confirm choices” CMP page). </w:t>
      </w:r>
      <w:r w:rsidRPr="009C1821">
        <w:t xml:space="preserve">The CMP should provide three distinct options to users: “Accept All,” “Reject All,” and a “Settings” button that allows easy management of cookie preferences by category. </w:t>
      </w:r>
      <w:r>
        <w:t>Additionally, the company site should recognize the Global Privacy Control browser preference signal. All</w:t>
      </w:r>
      <w:r w:rsidRPr="000A7E96">
        <w:t xml:space="preserve"> </w:t>
      </w:r>
      <w:r>
        <w:t xml:space="preserve">sites operating in a jurisdiction </w:t>
      </w:r>
      <w:r w:rsidRPr="000A7E96">
        <w:t xml:space="preserve">with an “opt in” requirement </w:t>
      </w:r>
      <w:r>
        <w:t>should also offer an easy</w:t>
      </w:r>
      <w:r w:rsidRPr="009C1821">
        <w:t xml:space="preserve"> way for users to </w:t>
      </w:r>
      <w:r>
        <w:t>change their preferences</w:t>
      </w:r>
      <w:r w:rsidRPr="009C1821">
        <w:t xml:space="preserve"> or revoke their consent at any time.</w:t>
      </w:r>
      <w:r>
        <w:t xml:space="preserve"> These requirements apply to the following states and regions: </w:t>
      </w:r>
    </w:p>
    <w:p w:rsidRPr="000A7E96" w:rsidR="00353744" w:rsidP="00353744" w:rsidRDefault="00353744" w14:paraId="45803560" w14:textId="77777777">
      <w:pPr>
        <w:pStyle w:val="ListParagraph"/>
        <w:numPr>
          <w:ilvl w:val="0"/>
          <w:numId w:val="39"/>
        </w:numPr>
      </w:pPr>
      <w:r w:rsidRPr="000A7E96">
        <w:t>Quebec, Canada</w:t>
      </w:r>
    </w:p>
    <w:p w:rsidRPr="000A7E96" w:rsidR="00353744" w:rsidP="00353744" w:rsidRDefault="00353744" w14:paraId="628C9098" w14:textId="77777777">
      <w:pPr>
        <w:pStyle w:val="ListParagraph"/>
        <w:numPr>
          <w:ilvl w:val="0"/>
          <w:numId w:val="39"/>
        </w:numPr>
      </w:pPr>
      <w:r w:rsidRPr="000A7E96">
        <w:t>Europe</w:t>
      </w:r>
    </w:p>
    <w:p w:rsidRPr="000A7E96" w:rsidR="00353744" w:rsidP="00353744" w:rsidRDefault="00353744" w14:paraId="45940690" w14:textId="77777777">
      <w:pPr>
        <w:pStyle w:val="ListParagraph"/>
        <w:numPr>
          <w:ilvl w:val="0"/>
          <w:numId w:val="39"/>
        </w:numPr>
      </w:pPr>
      <w:r w:rsidRPr="000A7E96">
        <w:lastRenderedPageBreak/>
        <w:t>UK</w:t>
      </w:r>
    </w:p>
    <w:p w:rsidRPr="000A7E96" w:rsidR="00353744" w:rsidP="00353744" w:rsidRDefault="00353744" w14:paraId="5ACC9901" w14:textId="77777777">
      <w:pPr>
        <w:pStyle w:val="ListParagraph"/>
        <w:numPr>
          <w:ilvl w:val="0"/>
          <w:numId w:val="39"/>
        </w:numPr>
      </w:pPr>
      <w:r w:rsidRPr="000A7E96">
        <w:t>Brazil</w:t>
      </w:r>
    </w:p>
    <w:p w:rsidRPr="000A7E96" w:rsidR="00353744" w:rsidP="00353744" w:rsidRDefault="00353744" w14:paraId="76169B45" w14:textId="77777777">
      <w:pPr>
        <w:pStyle w:val="ListParagraph"/>
        <w:numPr>
          <w:ilvl w:val="0"/>
          <w:numId w:val="39"/>
        </w:numPr>
      </w:pPr>
      <w:r w:rsidRPr="000A7E96">
        <w:t>California</w:t>
      </w:r>
      <w:r>
        <w:t>*</w:t>
      </w:r>
    </w:p>
    <w:p w:rsidRPr="000A7E96" w:rsidR="00353744" w:rsidP="00353744" w:rsidRDefault="00353744" w14:paraId="5C4F9316" w14:textId="77777777">
      <w:pPr>
        <w:pStyle w:val="ListParagraph"/>
        <w:numPr>
          <w:ilvl w:val="0"/>
          <w:numId w:val="39"/>
        </w:numPr>
      </w:pPr>
      <w:r w:rsidRPr="000A7E96">
        <w:t>Florida</w:t>
      </w:r>
      <w:r>
        <w:t>*</w:t>
      </w:r>
    </w:p>
    <w:p w:rsidR="00353744" w:rsidP="00353744" w:rsidRDefault="00353744" w14:paraId="73CA97EB" w14:textId="77777777">
      <w:pPr>
        <w:rPr>
          <w:i/>
          <w:iCs/>
        </w:rPr>
      </w:pPr>
    </w:p>
    <w:p w:rsidRPr="00353744" w:rsidR="00353744" w:rsidP="00353744" w:rsidRDefault="00353744" w14:paraId="6ABE8B79" w14:textId="46769914">
      <w:r w:rsidRPr="00764030">
        <w:rPr>
          <w:i/>
          <w:iCs/>
        </w:rPr>
        <w:t>*Recommendation is based on wiretapping statutes that have become a recent focus of litigation plaintiffs in this context.</w:t>
      </w:r>
      <w:r>
        <w:rPr>
          <w:i/>
          <w:iCs/>
        </w:rPr>
        <w:t xml:space="preserve"> Note that we are seeing an increase in </w:t>
      </w:r>
      <w:proofErr w:type="spellStart"/>
      <w:r>
        <w:rPr>
          <w:i/>
          <w:iCs/>
        </w:rPr>
        <w:t>ECPA</w:t>
      </w:r>
      <w:proofErr w:type="spellEnd"/>
      <w:r>
        <w:rPr>
          <w:i/>
          <w:iCs/>
        </w:rPr>
        <w:t xml:space="preserve"> claims in all U.S. states, so companies may want to implement opt in across the U.S. to prevent these claims.</w:t>
      </w:r>
    </w:p>
    <w:p w:rsidR="00353744" w:rsidP="004A1D66" w:rsidRDefault="00353744" w14:paraId="5C0ABF25" w14:textId="77777777">
      <w:pPr>
        <w:pStyle w:val="BodyText"/>
        <w:rPr>
          <w:b/>
          <w:bCs/>
        </w:rPr>
      </w:pPr>
    </w:p>
    <w:p w:rsidRPr="003B3BEF" w:rsidR="004A1D66" w:rsidP="004A1D66" w:rsidRDefault="004A1D66" w14:paraId="5C2863B4" w14:textId="24B0C3ED">
      <w:pPr>
        <w:pStyle w:val="BodyText"/>
      </w:pPr>
      <w:r w:rsidRPr="003B3BEF">
        <w:rPr>
          <w:b/>
          <w:bCs/>
        </w:rPr>
        <w:t>Opt</w:t>
      </w:r>
      <w:r w:rsidRPr="003B3BEF" w:rsidR="003B25A3">
        <w:rPr>
          <w:b/>
          <w:bCs/>
        </w:rPr>
        <w:t>-</w:t>
      </w:r>
      <w:r w:rsidRPr="003B3BEF">
        <w:rPr>
          <w:b/>
          <w:bCs/>
        </w:rPr>
        <w:t>Out:</w:t>
      </w:r>
      <w:r w:rsidRPr="003B3BEF">
        <w:t xml:space="preserve"> Third-party trackers </w:t>
      </w:r>
      <w:r w:rsidRPr="003B3BEF" w:rsidR="009236B3">
        <w:t>may</w:t>
      </w:r>
      <w:r w:rsidRPr="003B3BEF">
        <w:t xml:space="preserve"> fire at the point a user lands on a website, but users </w:t>
      </w:r>
      <w:r w:rsidRPr="003B3BEF" w:rsidR="009236B3">
        <w:t xml:space="preserve">must </w:t>
      </w:r>
      <w:r w:rsidRPr="003B3BEF">
        <w:t>be presented with an option to opt out of those trackers via pop-up</w:t>
      </w:r>
      <w:r w:rsidRPr="003B3BEF" w:rsidR="003B25A3">
        <w:t>. Additionally, the</w:t>
      </w:r>
      <w:r w:rsidRPr="003B3BEF">
        <w:t xml:space="preserve"> company site should recognize </w:t>
      </w:r>
      <w:r w:rsidRPr="003B3BEF" w:rsidR="003B25A3">
        <w:t xml:space="preserve">the </w:t>
      </w:r>
      <w:r w:rsidRPr="003B3BEF">
        <w:t>Global Privacy Control browser preference signal</w:t>
      </w:r>
      <w:r w:rsidR="00353744">
        <w:t xml:space="preserve"> and be aware that these states still carry risks of </w:t>
      </w:r>
      <w:proofErr w:type="spellStart"/>
      <w:r w:rsidR="00353744">
        <w:t>ECPA</w:t>
      </w:r>
      <w:proofErr w:type="spellEnd"/>
      <w:r w:rsidR="00353744">
        <w:t xml:space="preserve"> claims, particularly in the finance and healthcare sectors</w:t>
      </w:r>
      <w:r w:rsidRPr="003B3BEF">
        <w:t>.</w:t>
      </w:r>
      <w:r w:rsidRPr="003B3BEF" w:rsidR="000A7E96">
        <w:t xml:space="preserve"> </w:t>
      </w:r>
      <w:proofErr w:type="spellStart"/>
      <w:r w:rsidR="00353744">
        <w:t>Opt</w:t>
      </w:r>
      <w:proofErr w:type="spellEnd"/>
      <w:r w:rsidR="00353744">
        <w:t xml:space="preserve"> out</w:t>
      </w:r>
      <w:r w:rsidRPr="003B3BEF" w:rsidR="000A7E96">
        <w:t xml:space="preserve"> requirements apply to the following states and regions:</w:t>
      </w:r>
    </w:p>
    <w:p w:rsidRPr="002A1B58" w:rsidR="000A7E96" w:rsidP="000A7E96" w:rsidRDefault="000A7E96" w14:paraId="1007EBC2" w14:textId="77777777">
      <w:pPr>
        <w:pStyle w:val="BodyText"/>
        <w:numPr>
          <w:ilvl w:val="0"/>
          <w:numId w:val="38"/>
        </w:numPr>
        <w:spacing w:after="0"/>
      </w:pPr>
      <w:r w:rsidRPr="002A1B58">
        <w:t>Canada (except for Quebec, per Law 25)</w:t>
      </w:r>
    </w:p>
    <w:p w:rsidRPr="002A1B58" w:rsidR="000A7E96" w:rsidP="000A7E96" w:rsidRDefault="000A7E96" w14:paraId="1AEC1ED0" w14:textId="354744E6">
      <w:pPr>
        <w:pStyle w:val="BodyText"/>
        <w:numPr>
          <w:ilvl w:val="0"/>
          <w:numId w:val="38"/>
        </w:numPr>
        <w:spacing w:after="0"/>
      </w:pPr>
      <w:r w:rsidRPr="002A1B58">
        <w:t>Mexico</w:t>
      </w:r>
      <w:r w:rsidRPr="002A1B58" w:rsidR="003B3BEF">
        <w:t xml:space="preserve"> (based on </w:t>
      </w:r>
      <w:proofErr w:type="spellStart"/>
      <w:r w:rsidRPr="002A1B58" w:rsidR="003B3BEF">
        <w:t>IFAI</w:t>
      </w:r>
      <w:proofErr w:type="spellEnd"/>
      <w:r w:rsidRPr="002A1B58" w:rsidR="003B3BEF">
        <w:t xml:space="preserve"> guidelines, </w:t>
      </w:r>
      <w:r w:rsidRPr="002A1B58" w:rsidR="00A17213">
        <w:t>although they lack an</w:t>
      </w:r>
      <w:r w:rsidRPr="002A1B58" w:rsidR="003B3BEF">
        <w:t xml:space="preserve"> enforcement mechanism)</w:t>
      </w:r>
    </w:p>
    <w:p w:rsidR="000A7E96" w:rsidP="000A7E96" w:rsidRDefault="000A7E96" w14:paraId="6F66C0EA" w14:textId="77777777">
      <w:pPr>
        <w:pStyle w:val="BodyText"/>
        <w:numPr>
          <w:ilvl w:val="0"/>
          <w:numId w:val="38"/>
        </w:numPr>
        <w:spacing w:after="0"/>
      </w:pPr>
      <w:r w:rsidRPr="004708D3">
        <w:t>Colorado</w:t>
      </w:r>
    </w:p>
    <w:p w:rsidRPr="000A7E96" w:rsidR="00DE65D4" w:rsidP="00DE65D4" w:rsidRDefault="00DE65D4" w14:paraId="05764A39" w14:textId="1BE7A835">
      <w:pPr>
        <w:pStyle w:val="ListParagraph"/>
        <w:numPr>
          <w:ilvl w:val="0"/>
          <w:numId w:val="38"/>
        </w:numPr>
      </w:pPr>
      <w:r w:rsidRPr="000A7E96">
        <w:t>Connecticut</w:t>
      </w:r>
    </w:p>
    <w:p w:rsidR="00DE65D4" w:rsidP="00DE65D4" w:rsidRDefault="00DE65D4" w14:paraId="260A2A26" w14:textId="4768D607">
      <w:pPr>
        <w:pStyle w:val="ListParagraph"/>
        <w:numPr>
          <w:ilvl w:val="0"/>
          <w:numId w:val="38"/>
        </w:numPr>
      </w:pPr>
      <w:r w:rsidRPr="000A7E96">
        <w:t>Delaware</w:t>
      </w:r>
    </w:p>
    <w:p w:rsidR="00DE65D4" w:rsidP="00DE65D4" w:rsidRDefault="00DE65D4" w14:paraId="291B924C" w14:textId="0D245F4D">
      <w:pPr>
        <w:pStyle w:val="ListParagraph"/>
        <w:numPr>
          <w:ilvl w:val="0"/>
          <w:numId w:val="38"/>
        </w:numPr>
      </w:pPr>
      <w:r w:rsidRPr="000A7E96">
        <w:t>Illinois</w:t>
      </w:r>
    </w:p>
    <w:p w:rsidRPr="004708D3" w:rsidR="00DE65D4" w:rsidP="00DE65D4" w:rsidRDefault="00DE65D4" w14:paraId="6A45C1E7" w14:textId="77777777">
      <w:pPr>
        <w:pStyle w:val="BodyText"/>
        <w:numPr>
          <w:ilvl w:val="0"/>
          <w:numId w:val="38"/>
        </w:numPr>
        <w:spacing w:after="0"/>
      </w:pPr>
      <w:r w:rsidRPr="004708D3">
        <w:t>Indiana (starting 1/1/26)</w:t>
      </w:r>
    </w:p>
    <w:p w:rsidR="00DE65D4" w:rsidP="00DE65D4" w:rsidRDefault="00DE65D4" w14:paraId="112CB5BB" w14:textId="77777777">
      <w:pPr>
        <w:pStyle w:val="BodyText"/>
        <w:numPr>
          <w:ilvl w:val="0"/>
          <w:numId w:val="38"/>
        </w:numPr>
        <w:spacing w:after="0"/>
      </w:pPr>
      <w:r w:rsidRPr="004708D3">
        <w:t>Iowa</w:t>
      </w:r>
    </w:p>
    <w:p w:rsidRPr="004708D3" w:rsidR="00DE65D4" w:rsidP="00DE65D4" w:rsidRDefault="00DE65D4" w14:paraId="285384ED" w14:textId="77777777">
      <w:pPr>
        <w:pStyle w:val="BodyText"/>
        <w:numPr>
          <w:ilvl w:val="0"/>
          <w:numId w:val="38"/>
        </w:numPr>
        <w:spacing w:after="0"/>
      </w:pPr>
      <w:r w:rsidRPr="004708D3">
        <w:t>Kentucky (starting 1/1/26)</w:t>
      </w:r>
    </w:p>
    <w:p w:rsidR="00DE65D4" w:rsidP="00DE65D4" w:rsidRDefault="00DE65D4" w14:paraId="21C839BD" w14:textId="58826FF5">
      <w:pPr>
        <w:pStyle w:val="ListParagraph"/>
        <w:numPr>
          <w:ilvl w:val="0"/>
          <w:numId w:val="38"/>
        </w:numPr>
      </w:pPr>
      <w:r w:rsidRPr="000A7E96">
        <w:t xml:space="preserve">Maryland </w:t>
      </w:r>
    </w:p>
    <w:p w:rsidRPr="004708D3" w:rsidR="00DE65D4" w:rsidP="00DE65D4" w:rsidRDefault="00DE65D4" w14:paraId="5ADFD886" w14:textId="77777777">
      <w:pPr>
        <w:pStyle w:val="BodyText"/>
        <w:numPr>
          <w:ilvl w:val="0"/>
          <w:numId w:val="38"/>
        </w:numPr>
        <w:spacing w:after="0"/>
      </w:pPr>
      <w:r w:rsidRPr="004708D3">
        <w:t xml:space="preserve">Minnesota </w:t>
      </w:r>
    </w:p>
    <w:p w:rsidR="00DE65D4" w:rsidP="00DE65D4" w:rsidRDefault="00DE65D4" w14:paraId="195BD01E" w14:textId="24D6E579">
      <w:pPr>
        <w:pStyle w:val="ListParagraph"/>
        <w:numPr>
          <w:ilvl w:val="0"/>
          <w:numId w:val="38"/>
        </w:numPr>
      </w:pPr>
      <w:r>
        <w:t>Montana</w:t>
      </w:r>
    </w:p>
    <w:p w:rsidR="00DE65D4" w:rsidP="00DE65D4" w:rsidRDefault="00DE65D4" w14:paraId="724BDB2C" w14:textId="721B8554">
      <w:pPr>
        <w:pStyle w:val="ListParagraph"/>
        <w:numPr>
          <w:ilvl w:val="0"/>
          <w:numId w:val="38"/>
        </w:numPr>
      </w:pPr>
      <w:r w:rsidRPr="000A7E96">
        <w:t xml:space="preserve">Michigan </w:t>
      </w:r>
    </w:p>
    <w:p w:rsidRPr="004708D3" w:rsidR="00DE65D4" w:rsidP="00DE65D4" w:rsidRDefault="00DE65D4" w14:paraId="68C53F55" w14:textId="77777777">
      <w:pPr>
        <w:pStyle w:val="BodyText"/>
        <w:numPr>
          <w:ilvl w:val="0"/>
          <w:numId w:val="38"/>
        </w:numPr>
        <w:spacing w:after="0"/>
      </w:pPr>
      <w:r w:rsidRPr="004708D3">
        <w:t>Nebraska</w:t>
      </w:r>
    </w:p>
    <w:p w:rsidR="00DE65D4" w:rsidP="00DE65D4" w:rsidRDefault="00DE65D4" w14:paraId="632423BD" w14:textId="1B648601">
      <w:pPr>
        <w:pStyle w:val="ListParagraph"/>
        <w:numPr>
          <w:ilvl w:val="0"/>
          <w:numId w:val="38"/>
        </w:numPr>
      </w:pPr>
      <w:r w:rsidRPr="000A7E96">
        <w:t>New Hampshire</w:t>
      </w:r>
    </w:p>
    <w:p w:rsidR="00DE65D4" w:rsidP="00DE65D4" w:rsidRDefault="00DE65D4" w14:paraId="2DEB5187" w14:textId="77777777">
      <w:pPr>
        <w:pStyle w:val="BodyText"/>
        <w:numPr>
          <w:ilvl w:val="0"/>
          <w:numId w:val="38"/>
        </w:numPr>
        <w:spacing w:after="0"/>
      </w:pPr>
      <w:r w:rsidRPr="002A1B58">
        <w:t>New Jersey</w:t>
      </w:r>
    </w:p>
    <w:p w:rsidRPr="004708D3" w:rsidR="00DE65D4" w:rsidP="00DE65D4" w:rsidRDefault="00DE65D4" w14:paraId="01EC9B7E" w14:textId="77777777">
      <w:pPr>
        <w:pStyle w:val="BodyText"/>
        <w:numPr>
          <w:ilvl w:val="0"/>
          <w:numId w:val="38"/>
        </w:numPr>
        <w:spacing w:after="0"/>
      </w:pPr>
      <w:r w:rsidRPr="004708D3">
        <w:t>Oregon</w:t>
      </w:r>
    </w:p>
    <w:p w:rsidR="00DE65D4" w:rsidP="00DE65D4" w:rsidRDefault="00DE65D4" w14:paraId="7C7BF421" w14:textId="17082949">
      <w:pPr>
        <w:pStyle w:val="ListParagraph"/>
        <w:numPr>
          <w:ilvl w:val="0"/>
          <w:numId w:val="38"/>
        </w:numPr>
      </w:pPr>
      <w:r w:rsidRPr="000A7E96">
        <w:t>Pennsylvania</w:t>
      </w:r>
    </w:p>
    <w:p w:rsidR="00DE65D4" w:rsidP="00DE65D4" w:rsidRDefault="00DE65D4" w14:paraId="350CD1F1" w14:textId="47DED8C7">
      <w:pPr>
        <w:pStyle w:val="ListParagraph"/>
        <w:numPr>
          <w:ilvl w:val="0"/>
          <w:numId w:val="38"/>
        </w:numPr>
      </w:pPr>
      <w:r w:rsidRPr="004708D3">
        <w:t>Rhode Island (starting 1/1/26)</w:t>
      </w:r>
    </w:p>
    <w:p w:rsidRPr="004708D3" w:rsidR="00DE65D4" w:rsidP="00DE65D4" w:rsidRDefault="00DE65D4" w14:paraId="7471A4A6" w14:textId="77777777">
      <w:pPr>
        <w:pStyle w:val="BodyText"/>
        <w:numPr>
          <w:ilvl w:val="0"/>
          <w:numId w:val="38"/>
        </w:numPr>
        <w:spacing w:after="0"/>
      </w:pPr>
      <w:r w:rsidRPr="004708D3">
        <w:t>Tennessee</w:t>
      </w:r>
    </w:p>
    <w:p w:rsidRPr="004708D3" w:rsidR="00DE65D4" w:rsidP="00DE65D4" w:rsidRDefault="00DE65D4" w14:paraId="46C66BD1" w14:textId="77777777">
      <w:pPr>
        <w:pStyle w:val="BodyText"/>
        <w:numPr>
          <w:ilvl w:val="0"/>
          <w:numId w:val="38"/>
        </w:numPr>
        <w:spacing w:after="0"/>
      </w:pPr>
      <w:r w:rsidRPr="004708D3">
        <w:t>Texas</w:t>
      </w:r>
    </w:p>
    <w:p w:rsidRPr="004708D3" w:rsidR="00DE65D4" w:rsidP="00DE65D4" w:rsidRDefault="00DE65D4" w14:paraId="4522FFFA" w14:textId="77777777">
      <w:pPr>
        <w:pStyle w:val="BodyText"/>
        <w:numPr>
          <w:ilvl w:val="0"/>
          <w:numId w:val="38"/>
        </w:numPr>
        <w:spacing w:after="0"/>
      </w:pPr>
      <w:r w:rsidRPr="004708D3">
        <w:t>Utah</w:t>
      </w:r>
    </w:p>
    <w:p w:rsidRPr="004708D3" w:rsidR="00DE65D4" w:rsidP="00DE65D4" w:rsidRDefault="00DE65D4" w14:paraId="6AC2E57F" w14:textId="77777777">
      <w:pPr>
        <w:pStyle w:val="BodyText"/>
        <w:numPr>
          <w:ilvl w:val="0"/>
          <w:numId w:val="38"/>
        </w:numPr>
        <w:spacing w:after="0"/>
      </w:pPr>
      <w:r w:rsidRPr="004708D3">
        <w:t>Virginia</w:t>
      </w:r>
    </w:p>
    <w:p w:rsidR="004A1D66" w:rsidP="004A1D66" w:rsidRDefault="00DE65D4" w14:paraId="76B0EA56" w14:textId="483F1790">
      <w:pPr>
        <w:pStyle w:val="ListParagraph"/>
        <w:numPr>
          <w:ilvl w:val="0"/>
          <w:numId w:val="38"/>
        </w:numPr>
      </w:pPr>
      <w:r w:rsidRPr="000A7E96">
        <w:t>Washington</w:t>
      </w:r>
    </w:p>
    <w:p w:rsidRPr="00DE65D4" w:rsidR="00DE65D4" w:rsidP="00DE65D4" w:rsidRDefault="00DE65D4" w14:paraId="0B8356CA" w14:textId="77777777">
      <w:pPr>
        <w:pStyle w:val="ListParagraph"/>
      </w:pPr>
    </w:p>
    <w:p w:rsidRPr="000A7E96" w:rsidR="000A7E96" w:rsidP="003B25A3" w:rsidRDefault="003B25A3" w14:paraId="247A74AA" w14:textId="4A76A5D8">
      <w:pPr>
        <w:pStyle w:val="BodyText"/>
      </w:pPr>
      <w:r>
        <w:rPr>
          <w:b/>
          <w:bCs/>
        </w:rPr>
        <w:t xml:space="preserve">No Opt-Out or Opt-In Required: </w:t>
      </w:r>
      <w:r w:rsidRPr="003B25A3">
        <w:t>All other U.S. states not listed herein do not have specific CMP requirements</w:t>
      </w:r>
      <w:r w:rsidR="00353744">
        <w:t xml:space="preserve">, but can be at risk for </w:t>
      </w:r>
      <w:proofErr w:type="spellStart"/>
      <w:r w:rsidR="00353744">
        <w:t>ECPA</w:t>
      </w:r>
      <w:proofErr w:type="spellEnd"/>
      <w:r w:rsidR="00353744">
        <w:t xml:space="preserve"> claims, particularly in the healthcare and financial sectors</w:t>
      </w:r>
      <w:r w:rsidRPr="003B25A3">
        <w:t>. If your business operates in any other countries</w:t>
      </w:r>
      <w:r w:rsidR="003B3BEF">
        <w:t xml:space="preserve"> or jurisdictions</w:t>
      </w:r>
      <w:r w:rsidRPr="003B25A3">
        <w:t xml:space="preserve"> not covered in this document, please contact us for guidance to ensure compliance with local privacy regulations.</w:t>
      </w:r>
    </w:p>
    <w:sectPr w:rsidRPr="000A7E96" w:rsidR="000A7E96" w:rsidSect="006079A5">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150D" w:rsidRDefault="00FD150D" w14:paraId="7CB02189" w14:textId="77777777">
      <w:r>
        <w:separator/>
      </w:r>
    </w:p>
  </w:endnote>
  <w:endnote w:type="continuationSeparator" w:id="0">
    <w:p w:rsidR="00FD150D" w:rsidRDefault="00FD150D" w14:paraId="7F7B45E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iDocIDFielde7f21ff5-921d-4873-8b04-0189" w:id="0"/>
  <w:p w:rsidR="00DD3C00" w:rsidRDefault="00DD3C00" w14:paraId="46678D11" w14:textId="77777777">
    <w:pPr>
      <w:pStyle w:val="DocID"/>
    </w:pPr>
    <w:r>
      <w:fldChar w:fldCharType="begin"/>
    </w:r>
    <w:r>
      <w:instrText xml:space="preserve">  DOCPROPERTY "CUS_DocIDChunk0" </w:instrText>
    </w:r>
    <w:r>
      <w:fldChar w:fldCharType="separate"/>
    </w:r>
    <w:r>
      <w:rPr>
        <w:noProof/>
      </w:rPr>
      <w:t>104873716.2</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C00" w:rsidP="0074449B" w:rsidRDefault="00DD3C00" w14:paraId="4BC2F056" w14:textId="77777777">
    <w:pPr>
      <w:pStyle w:val="Footer"/>
    </w:pPr>
    <w:r>
      <w:tab/>
    </w:r>
    <w:r>
      <w:fldChar w:fldCharType="begin"/>
    </w:r>
    <w:r>
      <w:instrText xml:space="preserve"> PAGE </w:instrText>
    </w:r>
    <w:r>
      <w:fldChar w:fldCharType="separate"/>
    </w:r>
    <w:r>
      <w:t>0</w:t>
    </w:r>
    <w:r>
      <w:fldChar w:fldCharType="end"/>
    </w:r>
  </w:p>
  <w:bookmarkStart w:name="_iDocIDField7eca948a-438a-43dc-99da-9ad2" w:id="1"/>
  <w:p w:rsidR="00DD3C00" w:rsidRDefault="00DD3C00" w14:paraId="108AE9A3" w14:textId="77777777">
    <w:pPr>
      <w:pStyle w:val="DocID"/>
    </w:pPr>
    <w:r>
      <w:fldChar w:fldCharType="begin"/>
    </w:r>
    <w:r>
      <w:instrText xml:space="preserve">  DOCPROPERTY "CUS_DocIDChunk0" </w:instrText>
    </w:r>
    <w:r>
      <w:fldChar w:fldCharType="separate"/>
    </w:r>
    <w:r>
      <w:rPr>
        <w:noProof/>
      </w:rPr>
      <w:t>104873716.2</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C00" w:rsidP="00112520" w:rsidRDefault="00DD3C00" w14:paraId="7ACE065A" w14:textId="77777777">
    <w:pPr>
      <w:pStyle w:val="Footer"/>
    </w:pPr>
    <w:r>
      <w:tab/>
    </w:r>
  </w:p>
  <w:bookmarkStart w:name="_iDocIDField5ce163df-d97b-4c1e-a255-605e" w:id="2"/>
  <w:p w:rsidR="00DD3C00" w:rsidRDefault="00DD3C00" w14:paraId="4CD69E16" w14:textId="77777777">
    <w:pPr>
      <w:pStyle w:val="DocID"/>
    </w:pPr>
    <w:r>
      <w:fldChar w:fldCharType="begin"/>
    </w:r>
    <w:r>
      <w:instrText xml:space="preserve">  DOCPROPERTY "CUS_DocIDChunk0" </w:instrText>
    </w:r>
    <w:r>
      <w:fldChar w:fldCharType="separate"/>
    </w:r>
    <w:r>
      <w:rPr>
        <w:noProof/>
      </w:rPr>
      <w:t>104873716.2</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150D" w:rsidRDefault="00FD150D" w14:paraId="5AEBE5F8" w14:textId="77777777">
      <w:r>
        <w:separator/>
      </w:r>
    </w:p>
  </w:footnote>
  <w:footnote w:type="continuationSeparator" w:id="0">
    <w:p w:rsidR="00FD150D" w:rsidRDefault="00FD150D" w14:paraId="4F60432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369" w:rsidRDefault="00671369" w14:paraId="158F93A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369" w:rsidRDefault="00671369" w14:paraId="2C81B02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369" w:rsidRDefault="00671369" w14:paraId="0659F00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6FA08DC"/>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2006EE7A"/>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060EA2FC"/>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7A5A33F0"/>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B3D2323A"/>
    <w:lvl w:ilvl="0">
      <w:start w:val="1"/>
      <w:numFmt w:val="decimal"/>
      <w:pStyle w:val="ListNumber"/>
      <w:lvlText w:val="%1."/>
      <w:lvlJc w:val="left"/>
      <w:pPr>
        <w:tabs>
          <w:tab w:val="num" w:pos="720"/>
        </w:tabs>
        <w:ind w:left="720" w:hanging="720"/>
      </w:pPr>
      <w:rPr>
        <w:rFonts w:hint="default"/>
      </w:rPr>
    </w:lvl>
  </w:abstractNum>
  <w:abstractNum w:abstractNumId="5" w15:restartNumberingAfterBreak="0">
    <w:nsid w:val="FFFFFF89"/>
    <w:multiLevelType w:val="singleLevel"/>
    <w:tmpl w:val="A0D48D50"/>
    <w:lvl w:ilvl="0">
      <w:start w:val="1"/>
      <w:numFmt w:val="bullet"/>
      <w:pStyle w:val="ListBullet"/>
      <w:lvlText w:val=""/>
      <w:lvlJc w:val="left"/>
      <w:pPr>
        <w:tabs>
          <w:tab w:val="num" w:pos="720"/>
        </w:tabs>
        <w:ind w:left="720" w:hanging="720"/>
      </w:pPr>
      <w:rPr>
        <w:rFonts w:ascii="Symbol" w:hAnsi="Symbol" w:hint="default"/>
      </w:rPr>
    </w:lvl>
  </w:abstractNum>
  <w:abstractNum w:abstractNumId="6" w15:restartNumberingAfterBreak="0">
    <w:nsid w:val="15353A1A"/>
    <w:multiLevelType w:val="hybridMultilevel"/>
    <w:tmpl w:val="5618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27A21"/>
    <w:multiLevelType w:val="hybridMultilevel"/>
    <w:tmpl w:val="A6EE8A40"/>
    <w:lvl w:ilvl="0" w:tplc="3D9032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C1C40"/>
    <w:multiLevelType w:val="multilevel"/>
    <w:tmpl w:val="4C06D36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9" w15:restartNumberingAfterBreak="0">
    <w:nsid w:val="41464FC4"/>
    <w:multiLevelType w:val="hybridMultilevel"/>
    <w:tmpl w:val="99B6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5352AA"/>
    <w:multiLevelType w:val="hybridMultilevel"/>
    <w:tmpl w:val="D75C6CBE"/>
    <w:lvl w:ilvl="0" w:tplc="3BAA52C4">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41F8056A"/>
    <w:multiLevelType w:val="hybridMultilevel"/>
    <w:tmpl w:val="B438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1051F7"/>
    <w:multiLevelType w:val="hybridMultilevel"/>
    <w:tmpl w:val="9044E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2E5583"/>
    <w:multiLevelType w:val="hybridMultilevel"/>
    <w:tmpl w:val="BA5E2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503704"/>
    <w:multiLevelType w:val="hybridMultilevel"/>
    <w:tmpl w:val="B9826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743B42"/>
    <w:multiLevelType w:val="multilevel"/>
    <w:tmpl w:val="ADA8BB48"/>
    <w:lvl w:ilvl="0">
      <w:start w:val="1"/>
      <w:numFmt w:val="decimal"/>
      <w:lvlText w:val="%1."/>
      <w:lvlJc w:val="left"/>
      <w:pPr>
        <w:tabs>
          <w:tab w:val="num" w:pos="0"/>
        </w:tabs>
        <w:ind w:left="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800"/>
        </w:tabs>
        <w:ind w:left="72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880"/>
        </w:tabs>
        <w:ind w:left="144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240"/>
        </w:tabs>
        <w:ind w:left="216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960"/>
        </w:tabs>
        <w:ind w:left="288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5040"/>
        </w:tabs>
        <w:ind w:left="360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400"/>
        </w:tabs>
        <w:ind w:left="432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120"/>
        </w:tabs>
        <w:ind w:left="504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left="576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65327644"/>
    <w:multiLevelType w:val="multilevel"/>
    <w:tmpl w:val="A64677D6"/>
    <w:lvl w:ilvl="0">
      <w:start w:val="1"/>
      <w:numFmt w:val="decimal"/>
      <w:pStyle w:val="Heading1"/>
      <w:lvlText w:val="%1."/>
      <w:lvlJc w:val="left"/>
      <w:pPr>
        <w:tabs>
          <w:tab w:val="num" w:pos="720"/>
        </w:tabs>
        <w:ind w:left="720" w:hanging="720"/>
      </w:pPr>
      <w:rPr>
        <w:rFonts w:hint="default"/>
        <w:vanish w:val="0"/>
        <w:u w:val="none"/>
      </w:rPr>
    </w:lvl>
    <w:lvl w:ilvl="1">
      <w:start w:val="1"/>
      <w:numFmt w:val="lowerLetter"/>
      <w:pStyle w:val="Heading2"/>
      <w:lvlText w:val="%2."/>
      <w:lvlJc w:val="left"/>
      <w:pPr>
        <w:tabs>
          <w:tab w:val="num" w:pos="1440"/>
        </w:tabs>
        <w:ind w:left="1440" w:hanging="720"/>
      </w:pPr>
      <w:rPr>
        <w:rFonts w:hint="default"/>
        <w:vanish w:val="0"/>
        <w:u w:val="none"/>
      </w:rPr>
    </w:lvl>
    <w:lvl w:ilvl="2">
      <w:start w:val="1"/>
      <w:numFmt w:val="lowerRoman"/>
      <w:pStyle w:val="Heading3"/>
      <w:lvlText w:val="%3."/>
      <w:lvlJc w:val="left"/>
      <w:pPr>
        <w:tabs>
          <w:tab w:val="num" w:pos="2160"/>
        </w:tabs>
        <w:ind w:left="2160" w:hanging="720"/>
      </w:pPr>
      <w:rPr>
        <w:rFonts w:hint="default"/>
        <w:b w:val="0"/>
        <w:i w:val="0"/>
        <w:vanish w:val="0"/>
        <w:u w:val="none"/>
      </w:rPr>
    </w:lvl>
    <w:lvl w:ilvl="3">
      <w:start w:val="1"/>
      <w:numFmt w:val="decimal"/>
      <w:pStyle w:val="Heading4"/>
      <w:lvlText w:val="(%4)"/>
      <w:lvlJc w:val="left"/>
      <w:pPr>
        <w:tabs>
          <w:tab w:val="num" w:pos="2880"/>
        </w:tabs>
        <w:ind w:left="2880" w:hanging="720"/>
      </w:pPr>
      <w:rPr>
        <w:rFonts w:hint="default"/>
        <w:b w:val="0"/>
        <w:i w:val="0"/>
        <w:vanish w:val="0"/>
        <w:u w:val="none"/>
      </w:rPr>
    </w:lvl>
    <w:lvl w:ilvl="4">
      <w:start w:val="1"/>
      <w:numFmt w:val="lowerLetter"/>
      <w:pStyle w:val="Heading5"/>
      <w:lvlText w:val="(%5)"/>
      <w:lvlJc w:val="left"/>
      <w:pPr>
        <w:tabs>
          <w:tab w:val="num" w:pos="3600"/>
        </w:tabs>
        <w:ind w:left="3600" w:hanging="720"/>
      </w:pPr>
      <w:rPr>
        <w:rFonts w:hint="default"/>
        <w:vanish w:val="0"/>
        <w:u w:val="none"/>
      </w:rPr>
    </w:lvl>
    <w:lvl w:ilvl="5">
      <w:start w:val="1"/>
      <w:numFmt w:val="lowerRoman"/>
      <w:pStyle w:val="Heading6"/>
      <w:lvlText w:val="(%6)"/>
      <w:lvlJc w:val="left"/>
      <w:pPr>
        <w:tabs>
          <w:tab w:val="num" w:pos="4320"/>
        </w:tabs>
        <w:ind w:left="4320" w:hanging="720"/>
      </w:pPr>
      <w:rPr>
        <w:rFonts w:hint="default"/>
        <w:vanish w:val="0"/>
        <w:u w:val="none"/>
      </w:rPr>
    </w:lvl>
    <w:lvl w:ilvl="6">
      <w:start w:val="1"/>
      <w:numFmt w:val="decimal"/>
      <w:pStyle w:val="Heading7"/>
      <w:lvlText w:val="%7)"/>
      <w:lvlJc w:val="left"/>
      <w:pPr>
        <w:tabs>
          <w:tab w:val="num" w:pos="5040"/>
        </w:tabs>
        <w:ind w:left="5040" w:hanging="720"/>
      </w:pPr>
      <w:rPr>
        <w:rFonts w:hint="default"/>
        <w:vanish w:val="0"/>
        <w:u w:val="none"/>
      </w:rPr>
    </w:lvl>
    <w:lvl w:ilvl="7">
      <w:start w:val="1"/>
      <w:numFmt w:val="lowerLetter"/>
      <w:pStyle w:val="Heading8"/>
      <w:lvlText w:val="%8)"/>
      <w:lvlJc w:val="left"/>
      <w:pPr>
        <w:tabs>
          <w:tab w:val="num" w:pos="5760"/>
        </w:tabs>
        <w:ind w:left="5760" w:hanging="720"/>
      </w:pPr>
      <w:rPr>
        <w:rFonts w:hint="default"/>
        <w:vanish w:val="0"/>
        <w:u w:val="none"/>
      </w:rPr>
    </w:lvl>
    <w:lvl w:ilvl="8">
      <w:start w:val="1"/>
      <w:numFmt w:val="lowerRoman"/>
      <w:pStyle w:val="Heading9"/>
      <w:lvlText w:val="%9)"/>
      <w:lvlJc w:val="left"/>
      <w:pPr>
        <w:tabs>
          <w:tab w:val="num" w:pos="6480"/>
        </w:tabs>
        <w:ind w:left="6480" w:hanging="720"/>
      </w:pPr>
      <w:rPr>
        <w:rFonts w:hint="default"/>
        <w:vanish w:val="0"/>
        <w:u w:val="none"/>
      </w:rPr>
    </w:lvl>
  </w:abstractNum>
  <w:num w:numId="1" w16cid:durableId="468322510">
    <w:abstractNumId w:val="8"/>
  </w:num>
  <w:num w:numId="2" w16cid:durableId="134415588">
    <w:abstractNumId w:val="5"/>
  </w:num>
  <w:num w:numId="3" w16cid:durableId="17316096">
    <w:abstractNumId w:val="4"/>
  </w:num>
  <w:num w:numId="4" w16cid:durableId="1322612052">
    <w:abstractNumId w:val="8"/>
  </w:num>
  <w:num w:numId="5" w16cid:durableId="103043795">
    <w:abstractNumId w:val="8"/>
  </w:num>
  <w:num w:numId="6" w16cid:durableId="1639651318">
    <w:abstractNumId w:val="8"/>
  </w:num>
  <w:num w:numId="7" w16cid:durableId="1026521553">
    <w:abstractNumId w:val="8"/>
  </w:num>
  <w:num w:numId="8" w16cid:durableId="578248228">
    <w:abstractNumId w:val="8"/>
  </w:num>
  <w:num w:numId="9" w16cid:durableId="1397047752">
    <w:abstractNumId w:val="8"/>
  </w:num>
  <w:num w:numId="10" w16cid:durableId="228806513">
    <w:abstractNumId w:val="8"/>
  </w:num>
  <w:num w:numId="11" w16cid:durableId="240680084">
    <w:abstractNumId w:val="8"/>
  </w:num>
  <w:num w:numId="12" w16cid:durableId="580481149">
    <w:abstractNumId w:val="8"/>
  </w:num>
  <w:num w:numId="13" w16cid:durableId="1993171876">
    <w:abstractNumId w:val="15"/>
  </w:num>
  <w:num w:numId="14" w16cid:durableId="866794618">
    <w:abstractNumId w:val="15"/>
  </w:num>
  <w:num w:numId="15" w16cid:durableId="573323024">
    <w:abstractNumId w:val="15"/>
  </w:num>
  <w:num w:numId="16" w16cid:durableId="1809010920">
    <w:abstractNumId w:val="15"/>
  </w:num>
  <w:num w:numId="17" w16cid:durableId="826244262">
    <w:abstractNumId w:val="15"/>
  </w:num>
  <w:num w:numId="18" w16cid:durableId="741953644">
    <w:abstractNumId w:val="15"/>
  </w:num>
  <w:num w:numId="19" w16cid:durableId="531841795">
    <w:abstractNumId w:val="15"/>
  </w:num>
  <w:num w:numId="20" w16cid:durableId="1700545853">
    <w:abstractNumId w:val="15"/>
  </w:num>
  <w:num w:numId="21" w16cid:durableId="906111745">
    <w:abstractNumId w:val="15"/>
  </w:num>
  <w:num w:numId="22" w16cid:durableId="1475490814">
    <w:abstractNumId w:val="3"/>
  </w:num>
  <w:num w:numId="23" w16cid:durableId="519394058">
    <w:abstractNumId w:val="2"/>
  </w:num>
  <w:num w:numId="24" w16cid:durableId="1201868489">
    <w:abstractNumId w:val="1"/>
  </w:num>
  <w:num w:numId="25" w16cid:durableId="2012676477">
    <w:abstractNumId w:val="0"/>
  </w:num>
  <w:num w:numId="26" w16cid:durableId="491415276">
    <w:abstractNumId w:val="16"/>
  </w:num>
  <w:num w:numId="27" w16cid:durableId="854657202">
    <w:abstractNumId w:val="16"/>
  </w:num>
  <w:num w:numId="28" w16cid:durableId="522789962">
    <w:abstractNumId w:val="16"/>
  </w:num>
  <w:num w:numId="29" w16cid:durableId="1803619936">
    <w:abstractNumId w:val="16"/>
  </w:num>
  <w:num w:numId="30" w16cid:durableId="1504391237">
    <w:abstractNumId w:val="16"/>
  </w:num>
  <w:num w:numId="31" w16cid:durableId="691808170">
    <w:abstractNumId w:val="16"/>
  </w:num>
  <w:num w:numId="32" w16cid:durableId="1738434756">
    <w:abstractNumId w:val="16"/>
  </w:num>
  <w:num w:numId="33" w16cid:durableId="1380743204">
    <w:abstractNumId w:val="16"/>
  </w:num>
  <w:num w:numId="34" w16cid:durableId="257057271">
    <w:abstractNumId w:val="16"/>
  </w:num>
  <w:num w:numId="35" w16cid:durableId="84965636">
    <w:abstractNumId w:val="13"/>
  </w:num>
  <w:num w:numId="36" w16cid:durableId="879824059">
    <w:abstractNumId w:val="6"/>
  </w:num>
  <w:num w:numId="37" w16cid:durableId="865290352">
    <w:abstractNumId w:val="10"/>
  </w:num>
  <w:num w:numId="38" w16cid:durableId="296108407">
    <w:abstractNumId w:val="11"/>
  </w:num>
  <w:num w:numId="39" w16cid:durableId="1066298189">
    <w:abstractNumId w:val="9"/>
  </w:num>
  <w:num w:numId="40" w16cid:durableId="1236892143">
    <w:abstractNumId w:val="7"/>
  </w:num>
  <w:num w:numId="41" w16cid:durableId="404185496">
    <w:abstractNumId w:val="14"/>
  </w:num>
  <w:num w:numId="42" w16cid:durableId="1281572129">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62E"/>
    <w:rsid w:val="000064F9"/>
    <w:rsid w:val="000120EB"/>
    <w:rsid w:val="00022B64"/>
    <w:rsid w:val="00027F39"/>
    <w:rsid w:val="00037D70"/>
    <w:rsid w:val="000445FA"/>
    <w:rsid w:val="000450B8"/>
    <w:rsid w:val="00047E65"/>
    <w:rsid w:val="000834B9"/>
    <w:rsid w:val="000A7E96"/>
    <w:rsid w:val="000D195C"/>
    <w:rsid w:val="000D7D44"/>
    <w:rsid w:val="000E6D13"/>
    <w:rsid w:val="000F5EE1"/>
    <w:rsid w:val="00111B1D"/>
    <w:rsid w:val="00112F5E"/>
    <w:rsid w:val="001218DE"/>
    <w:rsid w:val="0019076C"/>
    <w:rsid w:val="001B4DE6"/>
    <w:rsid w:val="001D6832"/>
    <w:rsid w:val="001E6FF1"/>
    <w:rsid w:val="002177BE"/>
    <w:rsid w:val="00236071"/>
    <w:rsid w:val="00237048"/>
    <w:rsid w:val="0023770E"/>
    <w:rsid w:val="00242C4A"/>
    <w:rsid w:val="00244702"/>
    <w:rsid w:val="0025131A"/>
    <w:rsid w:val="002651D8"/>
    <w:rsid w:val="00271CDC"/>
    <w:rsid w:val="00292429"/>
    <w:rsid w:val="002A1B58"/>
    <w:rsid w:val="002B6E8C"/>
    <w:rsid w:val="002C03F6"/>
    <w:rsid w:val="002C75D7"/>
    <w:rsid w:val="002F33F0"/>
    <w:rsid w:val="00300043"/>
    <w:rsid w:val="0030095B"/>
    <w:rsid w:val="00311FCA"/>
    <w:rsid w:val="00312877"/>
    <w:rsid w:val="0034362E"/>
    <w:rsid w:val="003463A2"/>
    <w:rsid w:val="003515DB"/>
    <w:rsid w:val="003521D2"/>
    <w:rsid w:val="00353744"/>
    <w:rsid w:val="003608BD"/>
    <w:rsid w:val="00362213"/>
    <w:rsid w:val="003A3454"/>
    <w:rsid w:val="003B25A3"/>
    <w:rsid w:val="003B3BEF"/>
    <w:rsid w:val="003C7436"/>
    <w:rsid w:val="003D1C6C"/>
    <w:rsid w:val="00401F8C"/>
    <w:rsid w:val="00445C59"/>
    <w:rsid w:val="004635B0"/>
    <w:rsid w:val="004708D3"/>
    <w:rsid w:val="00471479"/>
    <w:rsid w:val="004A1D66"/>
    <w:rsid w:val="005020A1"/>
    <w:rsid w:val="00504E4B"/>
    <w:rsid w:val="00517C92"/>
    <w:rsid w:val="00522C85"/>
    <w:rsid w:val="005764F0"/>
    <w:rsid w:val="005906B1"/>
    <w:rsid w:val="00590A6B"/>
    <w:rsid w:val="005C23D1"/>
    <w:rsid w:val="005E3457"/>
    <w:rsid w:val="00602D18"/>
    <w:rsid w:val="00603F19"/>
    <w:rsid w:val="006079A5"/>
    <w:rsid w:val="00615C65"/>
    <w:rsid w:val="00630544"/>
    <w:rsid w:val="00671369"/>
    <w:rsid w:val="006968B1"/>
    <w:rsid w:val="006E1DBC"/>
    <w:rsid w:val="00710F98"/>
    <w:rsid w:val="00716750"/>
    <w:rsid w:val="00743753"/>
    <w:rsid w:val="00752424"/>
    <w:rsid w:val="007615A1"/>
    <w:rsid w:val="00764030"/>
    <w:rsid w:val="00773868"/>
    <w:rsid w:val="007767F5"/>
    <w:rsid w:val="0078052E"/>
    <w:rsid w:val="00784E3F"/>
    <w:rsid w:val="007A0A90"/>
    <w:rsid w:val="007C4078"/>
    <w:rsid w:val="007D1F50"/>
    <w:rsid w:val="008045AA"/>
    <w:rsid w:val="00833211"/>
    <w:rsid w:val="00844E55"/>
    <w:rsid w:val="00852259"/>
    <w:rsid w:val="0085716F"/>
    <w:rsid w:val="00887BC6"/>
    <w:rsid w:val="00892A4A"/>
    <w:rsid w:val="008A692A"/>
    <w:rsid w:val="008A7781"/>
    <w:rsid w:val="008E4631"/>
    <w:rsid w:val="009225E2"/>
    <w:rsid w:val="009236B3"/>
    <w:rsid w:val="0092425D"/>
    <w:rsid w:val="009324E3"/>
    <w:rsid w:val="009814F4"/>
    <w:rsid w:val="009C1821"/>
    <w:rsid w:val="009D49C5"/>
    <w:rsid w:val="00A17213"/>
    <w:rsid w:val="00A34D9D"/>
    <w:rsid w:val="00A82397"/>
    <w:rsid w:val="00A96272"/>
    <w:rsid w:val="00AB091E"/>
    <w:rsid w:val="00AB3276"/>
    <w:rsid w:val="00AC47BA"/>
    <w:rsid w:val="00AD413D"/>
    <w:rsid w:val="00AD5994"/>
    <w:rsid w:val="00AF69F7"/>
    <w:rsid w:val="00B02C3D"/>
    <w:rsid w:val="00B14028"/>
    <w:rsid w:val="00B277AD"/>
    <w:rsid w:val="00B531B6"/>
    <w:rsid w:val="00B567F0"/>
    <w:rsid w:val="00B57BD6"/>
    <w:rsid w:val="00B6028E"/>
    <w:rsid w:val="00B61DD6"/>
    <w:rsid w:val="00B85B88"/>
    <w:rsid w:val="00BB70D4"/>
    <w:rsid w:val="00BD6150"/>
    <w:rsid w:val="00BF3A92"/>
    <w:rsid w:val="00C042CD"/>
    <w:rsid w:val="00C41261"/>
    <w:rsid w:val="00C62534"/>
    <w:rsid w:val="00C75916"/>
    <w:rsid w:val="00C77594"/>
    <w:rsid w:val="00C8783F"/>
    <w:rsid w:val="00CA4CC9"/>
    <w:rsid w:val="00CB019F"/>
    <w:rsid w:val="00CC3A98"/>
    <w:rsid w:val="00CD5297"/>
    <w:rsid w:val="00D06B0B"/>
    <w:rsid w:val="00D23D3F"/>
    <w:rsid w:val="00D34C61"/>
    <w:rsid w:val="00D75498"/>
    <w:rsid w:val="00D9007F"/>
    <w:rsid w:val="00DB277A"/>
    <w:rsid w:val="00DC1EF3"/>
    <w:rsid w:val="00DD3C00"/>
    <w:rsid w:val="00DD6386"/>
    <w:rsid w:val="00DE65D4"/>
    <w:rsid w:val="00E01D30"/>
    <w:rsid w:val="00E27EA9"/>
    <w:rsid w:val="00E31278"/>
    <w:rsid w:val="00E33813"/>
    <w:rsid w:val="00E52C4A"/>
    <w:rsid w:val="00E63AB0"/>
    <w:rsid w:val="00E90B23"/>
    <w:rsid w:val="00EA3E54"/>
    <w:rsid w:val="00EE14CB"/>
    <w:rsid w:val="00EE5342"/>
    <w:rsid w:val="00EE5790"/>
    <w:rsid w:val="00EF4A70"/>
    <w:rsid w:val="00F12F88"/>
    <w:rsid w:val="00F36AD3"/>
    <w:rsid w:val="00F37782"/>
    <w:rsid w:val="00FB444A"/>
    <w:rsid w:val="00FD150D"/>
    <w:rsid w:val="00FE0547"/>
    <w:rsid w:val="00FF2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C87AD"/>
  <w15:docId w15:val="{3E3CA1E8-02A2-43A5-9975-367E21A6B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D6832"/>
    <w:rPr>
      <w:sz w:val="24"/>
      <w:szCs w:val="24"/>
    </w:rPr>
  </w:style>
  <w:style w:type="paragraph" w:styleId="Heading1">
    <w:name w:val="heading 1"/>
    <w:basedOn w:val="Normal"/>
    <w:qFormat/>
    <w:rsid w:val="006968B1"/>
    <w:pPr>
      <w:numPr>
        <w:numId w:val="34"/>
      </w:numPr>
      <w:spacing w:after="240"/>
      <w:jc w:val="both"/>
      <w:outlineLvl w:val="0"/>
    </w:pPr>
    <w:rPr>
      <w:rFonts w:cs="Arial"/>
      <w:bCs/>
      <w:kern w:val="24"/>
    </w:rPr>
  </w:style>
  <w:style w:type="paragraph" w:styleId="Heading2">
    <w:name w:val="heading 2"/>
    <w:basedOn w:val="Normal"/>
    <w:qFormat/>
    <w:rsid w:val="006968B1"/>
    <w:pPr>
      <w:numPr>
        <w:ilvl w:val="1"/>
        <w:numId w:val="34"/>
      </w:numPr>
      <w:spacing w:after="240"/>
      <w:jc w:val="both"/>
      <w:outlineLvl w:val="1"/>
    </w:pPr>
    <w:rPr>
      <w:rFonts w:cs="Arial"/>
      <w:bCs/>
      <w:iCs/>
      <w:kern w:val="24"/>
    </w:rPr>
  </w:style>
  <w:style w:type="paragraph" w:styleId="Heading3">
    <w:name w:val="heading 3"/>
    <w:basedOn w:val="Normal"/>
    <w:qFormat/>
    <w:rsid w:val="006968B1"/>
    <w:pPr>
      <w:numPr>
        <w:ilvl w:val="2"/>
        <w:numId w:val="34"/>
      </w:numPr>
      <w:spacing w:after="240"/>
      <w:jc w:val="both"/>
      <w:outlineLvl w:val="2"/>
    </w:pPr>
    <w:rPr>
      <w:rFonts w:cs="Arial"/>
      <w:bCs/>
      <w:kern w:val="24"/>
    </w:rPr>
  </w:style>
  <w:style w:type="paragraph" w:styleId="Heading4">
    <w:name w:val="heading 4"/>
    <w:basedOn w:val="Normal"/>
    <w:qFormat/>
    <w:rsid w:val="006968B1"/>
    <w:pPr>
      <w:numPr>
        <w:ilvl w:val="3"/>
        <w:numId w:val="34"/>
      </w:numPr>
      <w:spacing w:after="240"/>
      <w:jc w:val="both"/>
      <w:outlineLvl w:val="3"/>
    </w:pPr>
    <w:rPr>
      <w:bCs/>
      <w:kern w:val="24"/>
    </w:rPr>
  </w:style>
  <w:style w:type="paragraph" w:styleId="Heading5">
    <w:name w:val="heading 5"/>
    <w:basedOn w:val="Normal"/>
    <w:qFormat/>
    <w:rsid w:val="006968B1"/>
    <w:pPr>
      <w:numPr>
        <w:ilvl w:val="4"/>
        <w:numId w:val="34"/>
      </w:numPr>
      <w:spacing w:after="240"/>
      <w:jc w:val="both"/>
      <w:outlineLvl w:val="4"/>
    </w:pPr>
    <w:rPr>
      <w:bCs/>
      <w:iCs/>
      <w:kern w:val="24"/>
    </w:rPr>
  </w:style>
  <w:style w:type="paragraph" w:styleId="Heading6">
    <w:name w:val="heading 6"/>
    <w:basedOn w:val="Normal"/>
    <w:qFormat/>
    <w:rsid w:val="006968B1"/>
    <w:pPr>
      <w:numPr>
        <w:ilvl w:val="5"/>
        <w:numId w:val="34"/>
      </w:numPr>
      <w:spacing w:after="240"/>
      <w:jc w:val="both"/>
      <w:outlineLvl w:val="5"/>
    </w:pPr>
    <w:rPr>
      <w:bCs/>
      <w:kern w:val="24"/>
    </w:rPr>
  </w:style>
  <w:style w:type="paragraph" w:styleId="Heading7">
    <w:name w:val="heading 7"/>
    <w:basedOn w:val="Normal"/>
    <w:qFormat/>
    <w:rsid w:val="006968B1"/>
    <w:pPr>
      <w:numPr>
        <w:ilvl w:val="6"/>
        <w:numId w:val="34"/>
      </w:numPr>
      <w:spacing w:after="240"/>
      <w:jc w:val="both"/>
      <w:outlineLvl w:val="6"/>
    </w:pPr>
    <w:rPr>
      <w:kern w:val="24"/>
    </w:rPr>
  </w:style>
  <w:style w:type="paragraph" w:styleId="Heading8">
    <w:name w:val="heading 8"/>
    <w:basedOn w:val="Normal"/>
    <w:qFormat/>
    <w:rsid w:val="006968B1"/>
    <w:pPr>
      <w:numPr>
        <w:ilvl w:val="7"/>
        <w:numId w:val="34"/>
      </w:numPr>
      <w:spacing w:after="240"/>
      <w:jc w:val="both"/>
      <w:outlineLvl w:val="7"/>
    </w:pPr>
    <w:rPr>
      <w:iCs/>
      <w:kern w:val="24"/>
    </w:rPr>
  </w:style>
  <w:style w:type="paragraph" w:styleId="Heading9">
    <w:name w:val="heading 9"/>
    <w:basedOn w:val="Normal"/>
    <w:qFormat/>
    <w:rsid w:val="006968B1"/>
    <w:pPr>
      <w:numPr>
        <w:ilvl w:val="8"/>
        <w:numId w:val="34"/>
      </w:numPr>
      <w:spacing w:after="240"/>
      <w:jc w:val="both"/>
      <w:outlineLvl w:val="8"/>
    </w:pPr>
    <w:rPr>
      <w:rFonts w:cs="Arial"/>
      <w:kern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D34C61"/>
    <w:pPr>
      <w:spacing w:after="240"/>
      <w:jc w:val="both"/>
    </w:pPr>
  </w:style>
  <w:style w:type="paragraph" w:styleId="BlockText">
    <w:name w:val="Block Text"/>
    <w:basedOn w:val="Normal"/>
    <w:rsid w:val="00D34C61"/>
    <w:pPr>
      <w:spacing w:after="240"/>
      <w:ind w:left="720" w:right="720"/>
      <w:jc w:val="both"/>
    </w:pPr>
  </w:style>
  <w:style w:type="paragraph" w:styleId="BlockText1" w:customStyle="1">
    <w:name w:val="Block Text 1&quot;"/>
    <w:basedOn w:val="Normal"/>
    <w:rsid w:val="00D34C61"/>
    <w:pPr>
      <w:spacing w:after="240"/>
      <w:ind w:left="1440" w:right="1440"/>
      <w:jc w:val="both"/>
    </w:pPr>
  </w:style>
  <w:style w:type="paragraph" w:styleId="BodyText2">
    <w:name w:val="Body Text 2"/>
    <w:basedOn w:val="Normal"/>
    <w:rsid w:val="00D34C61"/>
    <w:pPr>
      <w:spacing w:line="480" w:lineRule="auto"/>
      <w:jc w:val="both"/>
    </w:pPr>
  </w:style>
  <w:style w:type="paragraph" w:styleId="BodyTextFirstIndent">
    <w:name w:val="Body Text First Indent"/>
    <w:basedOn w:val="Normal"/>
    <w:rsid w:val="00D34C61"/>
    <w:pPr>
      <w:spacing w:after="240"/>
      <w:ind w:firstLine="720"/>
      <w:jc w:val="both"/>
    </w:pPr>
  </w:style>
  <w:style w:type="paragraph" w:styleId="Subtitle">
    <w:name w:val="Subtitle"/>
    <w:basedOn w:val="Normal"/>
    <w:qFormat/>
    <w:rsid w:val="003C7436"/>
    <w:pPr>
      <w:spacing w:after="60"/>
      <w:jc w:val="center"/>
      <w:outlineLvl w:val="1"/>
    </w:pPr>
    <w:rPr>
      <w:rFonts w:cs="Arial"/>
    </w:rPr>
  </w:style>
  <w:style w:type="paragraph" w:styleId="BodyTextFirstIndent2">
    <w:name w:val="Body Text First Indent 2"/>
    <w:basedOn w:val="Normal"/>
    <w:rsid w:val="00D34C61"/>
    <w:pPr>
      <w:spacing w:line="480" w:lineRule="auto"/>
      <w:ind w:firstLine="720"/>
      <w:jc w:val="both"/>
    </w:pPr>
  </w:style>
  <w:style w:type="character" w:styleId="CommentReference">
    <w:name w:val="annotation reference"/>
    <w:basedOn w:val="DefaultParagraphFont"/>
    <w:semiHidden/>
    <w:rsid w:val="00D34C61"/>
    <w:rPr>
      <w:sz w:val="16"/>
      <w:szCs w:val="16"/>
    </w:rPr>
  </w:style>
  <w:style w:type="paragraph" w:styleId="CommentText">
    <w:name w:val="annotation text"/>
    <w:basedOn w:val="Normal"/>
    <w:semiHidden/>
    <w:rsid w:val="00D34C61"/>
    <w:rPr>
      <w:sz w:val="20"/>
      <w:szCs w:val="20"/>
    </w:rPr>
  </w:style>
  <w:style w:type="paragraph" w:styleId="CommentSubject">
    <w:name w:val="annotation subject"/>
    <w:basedOn w:val="CommentText"/>
    <w:next w:val="CommentText"/>
    <w:semiHidden/>
    <w:rsid w:val="00D34C61"/>
    <w:rPr>
      <w:b/>
      <w:bCs/>
    </w:rPr>
  </w:style>
  <w:style w:type="paragraph" w:styleId="DocID" w:customStyle="1">
    <w:name w:val="DocID"/>
    <w:basedOn w:val="Footer"/>
    <w:next w:val="Footer"/>
    <w:link w:val="DocIDChar"/>
    <w:rsid w:val="00DD3C00"/>
    <w:pPr>
      <w:tabs>
        <w:tab w:val="clear" w:pos="4680"/>
        <w:tab w:val="clear" w:pos="9360"/>
      </w:tabs>
    </w:pPr>
    <w:rPr>
      <w:sz w:val="16"/>
      <w:szCs w:val="20"/>
      <w:lang w:val="en-US" w:eastAsia="en-US"/>
    </w:rPr>
  </w:style>
  <w:style w:type="paragraph" w:styleId="DocumentMap">
    <w:name w:val="Document Map"/>
    <w:basedOn w:val="Normal"/>
    <w:semiHidden/>
    <w:rsid w:val="00D34C61"/>
    <w:pPr>
      <w:shd w:val="clear" w:color="auto" w:fill="000080"/>
    </w:pPr>
    <w:rPr>
      <w:rFonts w:ascii="Tahoma" w:hAnsi="Tahoma" w:cs="Tahoma"/>
    </w:rPr>
  </w:style>
  <w:style w:type="character" w:styleId="EndnoteReference">
    <w:name w:val="endnote reference"/>
    <w:basedOn w:val="DefaultParagraphFont"/>
    <w:semiHidden/>
    <w:rsid w:val="00D34C61"/>
    <w:rPr>
      <w:vertAlign w:val="superscript"/>
    </w:rPr>
  </w:style>
  <w:style w:type="paragraph" w:styleId="EndnoteText">
    <w:name w:val="endnote text"/>
    <w:basedOn w:val="Normal"/>
    <w:semiHidden/>
    <w:rsid w:val="00D34C61"/>
    <w:rPr>
      <w:szCs w:val="20"/>
    </w:rPr>
  </w:style>
  <w:style w:type="paragraph" w:styleId="EnvelopeAddress">
    <w:name w:val="envelope address"/>
    <w:basedOn w:val="Normal"/>
    <w:semiHidden/>
    <w:rsid w:val="00D34C61"/>
    <w:pPr>
      <w:framePr w:w="7920" w:h="1980" w:hSpace="180" w:wrap="auto" w:hAnchor="page" w:xAlign="center" w:yAlign="bottom" w:hRule="exact"/>
      <w:ind w:left="2880"/>
    </w:pPr>
    <w:rPr>
      <w:rFonts w:cs="Arial"/>
    </w:rPr>
  </w:style>
  <w:style w:type="paragraph" w:styleId="EnvelopeReturn">
    <w:name w:val="envelope return"/>
    <w:basedOn w:val="Normal"/>
    <w:semiHidden/>
    <w:rsid w:val="00D34C61"/>
    <w:rPr>
      <w:rFonts w:cs="Arial"/>
    </w:rPr>
  </w:style>
  <w:style w:type="paragraph" w:styleId="Footer">
    <w:name w:val="footer"/>
    <w:basedOn w:val="Normal"/>
    <w:semiHidden/>
    <w:rsid w:val="00D34C61"/>
    <w:pPr>
      <w:tabs>
        <w:tab w:val="center" w:pos="4680"/>
        <w:tab w:val="right" w:pos="9360"/>
      </w:tabs>
    </w:pPr>
  </w:style>
  <w:style w:type="character" w:styleId="FootnoteReference">
    <w:name w:val="footnote reference"/>
    <w:basedOn w:val="DefaultParagraphFont"/>
    <w:semiHidden/>
    <w:rsid w:val="00D34C61"/>
    <w:rPr>
      <w:vertAlign w:val="superscript"/>
    </w:rPr>
  </w:style>
  <w:style w:type="paragraph" w:styleId="FootnoteText">
    <w:name w:val="footnote text"/>
    <w:basedOn w:val="Normal"/>
    <w:semiHidden/>
    <w:rsid w:val="00D34C61"/>
    <w:pPr>
      <w:spacing w:after="120" w:line="240" w:lineRule="exact"/>
      <w:ind w:firstLine="720"/>
      <w:jc w:val="both"/>
    </w:pPr>
    <w:rPr>
      <w:szCs w:val="20"/>
    </w:rPr>
  </w:style>
  <w:style w:type="paragraph" w:styleId="Header">
    <w:name w:val="header"/>
    <w:basedOn w:val="Normal"/>
    <w:semiHidden/>
    <w:rsid w:val="00D34C61"/>
    <w:pPr>
      <w:tabs>
        <w:tab w:val="center" w:pos="4680"/>
        <w:tab w:val="right" w:pos="9360"/>
      </w:tabs>
    </w:pPr>
  </w:style>
  <w:style w:type="paragraph" w:styleId="Index1">
    <w:name w:val="index 1"/>
    <w:basedOn w:val="Normal"/>
    <w:next w:val="Normal"/>
    <w:autoRedefine/>
    <w:semiHidden/>
    <w:rsid w:val="00D34C61"/>
    <w:pPr>
      <w:ind w:left="240" w:hanging="240"/>
    </w:pPr>
  </w:style>
  <w:style w:type="paragraph" w:styleId="Index2">
    <w:name w:val="index 2"/>
    <w:basedOn w:val="Normal"/>
    <w:next w:val="Normal"/>
    <w:autoRedefine/>
    <w:semiHidden/>
    <w:rsid w:val="00D34C61"/>
    <w:pPr>
      <w:ind w:left="480" w:hanging="240"/>
    </w:pPr>
  </w:style>
  <w:style w:type="paragraph" w:styleId="Index3">
    <w:name w:val="index 3"/>
    <w:basedOn w:val="Normal"/>
    <w:next w:val="Normal"/>
    <w:autoRedefine/>
    <w:semiHidden/>
    <w:rsid w:val="00D34C61"/>
    <w:pPr>
      <w:ind w:left="720" w:hanging="240"/>
    </w:pPr>
  </w:style>
  <w:style w:type="paragraph" w:styleId="Index4">
    <w:name w:val="index 4"/>
    <w:basedOn w:val="Normal"/>
    <w:next w:val="Normal"/>
    <w:autoRedefine/>
    <w:semiHidden/>
    <w:rsid w:val="00D34C61"/>
    <w:pPr>
      <w:ind w:left="960" w:hanging="240"/>
    </w:pPr>
  </w:style>
  <w:style w:type="paragraph" w:styleId="Index5">
    <w:name w:val="index 5"/>
    <w:basedOn w:val="Normal"/>
    <w:next w:val="Normal"/>
    <w:autoRedefine/>
    <w:semiHidden/>
    <w:rsid w:val="00D34C61"/>
    <w:pPr>
      <w:ind w:left="1200" w:hanging="240"/>
    </w:pPr>
  </w:style>
  <w:style w:type="paragraph" w:styleId="Index6">
    <w:name w:val="index 6"/>
    <w:basedOn w:val="Normal"/>
    <w:next w:val="Normal"/>
    <w:autoRedefine/>
    <w:semiHidden/>
    <w:rsid w:val="00D34C61"/>
    <w:pPr>
      <w:ind w:left="1440" w:hanging="240"/>
    </w:pPr>
  </w:style>
  <w:style w:type="paragraph" w:styleId="Index7">
    <w:name w:val="index 7"/>
    <w:basedOn w:val="Normal"/>
    <w:next w:val="Normal"/>
    <w:autoRedefine/>
    <w:semiHidden/>
    <w:rsid w:val="00D34C61"/>
    <w:pPr>
      <w:ind w:left="1680" w:hanging="240"/>
    </w:pPr>
  </w:style>
  <w:style w:type="paragraph" w:styleId="Index8">
    <w:name w:val="index 8"/>
    <w:basedOn w:val="Normal"/>
    <w:next w:val="Normal"/>
    <w:autoRedefine/>
    <w:semiHidden/>
    <w:rsid w:val="00D34C61"/>
    <w:pPr>
      <w:ind w:left="1920" w:hanging="240"/>
    </w:pPr>
  </w:style>
  <w:style w:type="paragraph" w:styleId="Index9">
    <w:name w:val="index 9"/>
    <w:basedOn w:val="Normal"/>
    <w:next w:val="Normal"/>
    <w:autoRedefine/>
    <w:semiHidden/>
    <w:rsid w:val="00D34C61"/>
    <w:pPr>
      <w:ind w:left="2160" w:hanging="240"/>
    </w:pPr>
  </w:style>
  <w:style w:type="paragraph" w:styleId="IndexHeading">
    <w:name w:val="index heading"/>
    <w:basedOn w:val="Normal"/>
    <w:next w:val="Index1"/>
    <w:semiHidden/>
    <w:rsid w:val="00D34C61"/>
    <w:rPr>
      <w:rFonts w:ascii="Arial" w:hAnsi="Arial" w:cs="Arial"/>
      <w:b/>
      <w:bCs/>
    </w:rPr>
  </w:style>
  <w:style w:type="paragraph" w:styleId="LeftIndent5" w:customStyle="1">
    <w:name w:val="Left Indent .5&quot;"/>
    <w:basedOn w:val="Normal"/>
    <w:semiHidden/>
    <w:rsid w:val="00D34C61"/>
    <w:pPr>
      <w:spacing w:after="240"/>
      <w:ind w:left="720"/>
      <w:jc w:val="both"/>
    </w:pPr>
  </w:style>
  <w:style w:type="paragraph" w:styleId="LeftIndent1" w:customStyle="1">
    <w:name w:val="Left Indent 1&quot;"/>
    <w:basedOn w:val="Normal"/>
    <w:semiHidden/>
    <w:rsid w:val="00D34C61"/>
    <w:pPr>
      <w:spacing w:after="240"/>
      <w:ind w:left="1440"/>
      <w:jc w:val="both"/>
    </w:pPr>
  </w:style>
  <w:style w:type="paragraph" w:styleId="LeftIndent15" w:customStyle="1">
    <w:name w:val="Left Indent 1.5&quot;"/>
    <w:basedOn w:val="Normal"/>
    <w:semiHidden/>
    <w:rsid w:val="00D34C61"/>
    <w:pPr>
      <w:spacing w:after="240"/>
      <w:ind w:left="2160"/>
      <w:jc w:val="both"/>
    </w:pPr>
  </w:style>
  <w:style w:type="paragraph" w:styleId="LeftIndent2" w:customStyle="1">
    <w:name w:val="Left Indent 2&quot;"/>
    <w:basedOn w:val="Normal"/>
    <w:semiHidden/>
    <w:rsid w:val="00D34C61"/>
    <w:pPr>
      <w:spacing w:after="240"/>
      <w:ind w:left="2880"/>
      <w:jc w:val="both"/>
    </w:pPr>
  </w:style>
  <w:style w:type="paragraph" w:styleId="LeftIndent25" w:customStyle="1">
    <w:name w:val="Left Indent 2.5"/>
    <w:basedOn w:val="Normal"/>
    <w:semiHidden/>
    <w:rsid w:val="00D34C61"/>
    <w:pPr>
      <w:spacing w:after="240"/>
      <w:ind w:left="3600"/>
      <w:jc w:val="both"/>
    </w:pPr>
  </w:style>
  <w:style w:type="paragraph" w:styleId="ListBullet">
    <w:name w:val="List Bullet"/>
    <w:basedOn w:val="Normal"/>
    <w:rsid w:val="002B6E8C"/>
    <w:pPr>
      <w:numPr>
        <w:numId w:val="2"/>
      </w:numPr>
      <w:tabs>
        <w:tab w:val="clear" w:pos="720"/>
        <w:tab w:val="num" w:pos="360"/>
      </w:tabs>
      <w:spacing w:after="240"/>
      <w:ind w:left="360" w:hanging="360"/>
      <w:jc w:val="both"/>
    </w:pPr>
  </w:style>
  <w:style w:type="paragraph" w:styleId="ListNumber">
    <w:name w:val="List Number"/>
    <w:basedOn w:val="Normal"/>
    <w:rsid w:val="002B6E8C"/>
    <w:pPr>
      <w:numPr>
        <w:numId w:val="3"/>
      </w:numPr>
      <w:tabs>
        <w:tab w:val="clear" w:pos="720"/>
        <w:tab w:val="num" w:pos="360"/>
      </w:tabs>
      <w:spacing w:after="240"/>
      <w:ind w:left="360" w:hanging="360"/>
      <w:jc w:val="both"/>
    </w:pPr>
  </w:style>
  <w:style w:type="paragraph" w:styleId="ListNumber2">
    <w:name w:val="List Number 2"/>
    <w:basedOn w:val="Normal"/>
    <w:semiHidden/>
    <w:rsid w:val="00D34C61"/>
    <w:pPr>
      <w:spacing w:after="240"/>
    </w:pPr>
  </w:style>
  <w:style w:type="paragraph" w:styleId="ListNumber3">
    <w:name w:val="List Number 3"/>
    <w:basedOn w:val="Normal"/>
    <w:semiHidden/>
    <w:rsid w:val="00D34C61"/>
    <w:pPr>
      <w:spacing w:after="240"/>
    </w:pPr>
  </w:style>
  <w:style w:type="paragraph" w:styleId="ListNumber4">
    <w:name w:val="List Number 4"/>
    <w:basedOn w:val="Normal"/>
    <w:semiHidden/>
    <w:rsid w:val="00D34C61"/>
    <w:pPr>
      <w:spacing w:after="240"/>
    </w:pPr>
  </w:style>
  <w:style w:type="paragraph" w:styleId="ListNumber5">
    <w:name w:val="List Number 5"/>
    <w:basedOn w:val="Normal"/>
    <w:semiHidden/>
    <w:rsid w:val="00D34C61"/>
    <w:pPr>
      <w:spacing w:after="240"/>
    </w:pPr>
  </w:style>
  <w:style w:type="paragraph" w:styleId="MacroText">
    <w:name w:val="macro"/>
    <w:semiHidden/>
    <w:rsid w:val="00D34C6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PageNumber">
    <w:name w:val="page number"/>
    <w:basedOn w:val="DefaultParagraphFont"/>
    <w:semiHidden/>
    <w:rsid w:val="00D34C61"/>
  </w:style>
  <w:style w:type="paragraph" w:styleId="SignatureLeft" w:customStyle="1">
    <w:name w:val="Signature Left"/>
    <w:basedOn w:val="Normal"/>
    <w:rsid w:val="00D34C61"/>
    <w:pPr>
      <w:tabs>
        <w:tab w:val="right" w:pos="3960"/>
      </w:tabs>
    </w:pPr>
  </w:style>
  <w:style w:type="paragraph" w:styleId="SignatureLeftRight" w:customStyle="1">
    <w:name w:val="Signature Left/Right"/>
    <w:basedOn w:val="Normal"/>
    <w:rsid w:val="00D34C61"/>
    <w:pPr>
      <w:tabs>
        <w:tab w:val="right" w:pos="3960"/>
        <w:tab w:val="left" w:pos="5040"/>
        <w:tab w:val="right" w:pos="9360"/>
      </w:tabs>
    </w:pPr>
  </w:style>
  <w:style w:type="paragraph" w:styleId="SignatureRight" w:customStyle="1">
    <w:name w:val="Signature Right"/>
    <w:basedOn w:val="Normal"/>
    <w:rsid w:val="00D34C61"/>
    <w:pPr>
      <w:tabs>
        <w:tab w:val="right" w:pos="9360"/>
      </w:tabs>
      <w:ind w:left="4320"/>
    </w:pPr>
  </w:style>
  <w:style w:type="paragraph" w:styleId="TableofAuthorities">
    <w:name w:val="table of authorities"/>
    <w:basedOn w:val="Normal"/>
    <w:next w:val="Normal"/>
    <w:semiHidden/>
    <w:rsid w:val="00D34C61"/>
    <w:pPr>
      <w:ind w:left="240" w:hanging="240"/>
    </w:pPr>
  </w:style>
  <w:style w:type="paragraph" w:styleId="TableofFigures">
    <w:name w:val="table of figures"/>
    <w:basedOn w:val="Normal"/>
    <w:next w:val="Normal"/>
    <w:semiHidden/>
    <w:rsid w:val="00D34C61"/>
    <w:pPr>
      <w:ind w:left="480" w:hanging="480"/>
    </w:pPr>
  </w:style>
  <w:style w:type="paragraph" w:styleId="TableText" w:customStyle="1">
    <w:name w:val="Table Text"/>
    <w:basedOn w:val="Normal"/>
    <w:semiHidden/>
    <w:rsid w:val="00D34C61"/>
  </w:style>
  <w:style w:type="paragraph" w:styleId="Title">
    <w:name w:val="Title"/>
    <w:basedOn w:val="Normal"/>
    <w:qFormat/>
    <w:rsid w:val="00D34C61"/>
    <w:pPr>
      <w:keepNext/>
      <w:spacing w:after="240"/>
      <w:jc w:val="center"/>
    </w:pPr>
    <w:rPr>
      <w:rFonts w:cs="Arial"/>
      <w:b/>
      <w:bCs/>
      <w:caps/>
    </w:rPr>
  </w:style>
  <w:style w:type="paragraph" w:styleId="Title2" w:customStyle="1">
    <w:name w:val="Title 2"/>
    <w:basedOn w:val="Normal"/>
    <w:rsid w:val="00D34C61"/>
    <w:pPr>
      <w:keepNext/>
      <w:spacing w:after="240"/>
      <w:jc w:val="center"/>
    </w:pPr>
    <w:rPr>
      <w:b/>
      <w:caps/>
      <w:u w:val="single"/>
    </w:rPr>
  </w:style>
  <w:style w:type="paragraph" w:styleId="Title3" w:customStyle="1">
    <w:name w:val="Title 3"/>
    <w:basedOn w:val="Normal"/>
    <w:rsid w:val="00D34C61"/>
    <w:pPr>
      <w:keepNext/>
      <w:spacing w:after="240"/>
      <w:jc w:val="center"/>
    </w:pPr>
    <w:rPr>
      <w:b/>
    </w:rPr>
  </w:style>
  <w:style w:type="paragraph" w:styleId="Title4" w:customStyle="1">
    <w:name w:val="Title 4"/>
    <w:basedOn w:val="Normal"/>
    <w:rsid w:val="00D34C61"/>
    <w:pPr>
      <w:keepNext/>
      <w:spacing w:after="240"/>
    </w:pPr>
    <w:rPr>
      <w:b/>
    </w:rPr>
  </w:style>
  <w:style w:type="paragraph" w:styleId="Title5" w:customStyle="1">
    <w:name w:val="Title 5"/>
    <w:basedOn w:val="Normal"/>
    <w:rsid w:val="00D34C61"/>
    <w:pPr>
      <w:keepNext/>
      <w:spacing w:after="240"/>
    </w:pPr>
    <w:rPr>
      <w:b/>
      <w:caps/>
    </w:rPr>
  </w:style>
  <w:style w:type="paragraph" w:styleId="TOAHeading">
    <w:name w:val="toa heading"/>
    <w:basedOn w:val="Normal"/>
    <w:next w:val="Normal"/>
    <w:semiHidden/>
    <w:rsid w:val="00D34C61"/>
    <w:pPr>
      <w:spacing w:before="120"/>
    </w:pPr>
    <w:rPr>
      <w:rFonts w:ascii="Arial" w:hAnsi="Arial" w:cs="Arial"/>
      <w:b/>
      <w:bCs/>
    </w:rPr>
  </w:style>
  <w:style w:type="paragraph" w:styleId="TOC1">
    <w:name w:val="toc 1"/>
    <w:basedOn w:val="Normal"/>
    <w:next w:val="Normal"/>
    <w:autoRedefine/>
    <w:semiHidden/>
    <w:rsid w:val="00D34C61"/>
    <w:pPr>
      <w:spacing w:after="240"/>
    </w:pPr>
  </w:style>
  <w:style w:type="paragraph" w:styleId="TOC2">
    <w:name w:val="toc 2"/>
    <w:basedOn w:val="Normal"/>
    <w:next w:val="Normal"/>
    <w:autoRedefine/>
    <w:semiHidden/>
    <w:rsid w:val="00D34C61"/>
    <w:pPr>
      <w:spacing w:after="240"/>
      <w:ind w:left="245"/>
    </w:pPr>
  </w:style>
  <w:style w:type="paragraph" w:styleId="TOC3">
    <w:name w:val="toc 3"/>
    <w:basedOn w:val="Normal"/>
    <w:next w:val="Normal"/>
    <w:autoRedefine/>
    <w:semiHidden/>
    <w:rsid w:val="00D34C61"/>
    <w:pPr>
      <w:spacing w:after="240"/>
      <w:ind w:left="475"/>
    </w:pPr>
  </w:style>
  <w:style w:type="paragraph" w:styleId="TOC4">
    <w:name w:val="toc 4"/>
    <w:basedOn w:val="Normal"/>
    <w:next w:val="Normal"/>
    <w:autoRedefine/>
    <w:semiHidden/>
    <w:rsid w:val="00D34C61"/>
    <w:pPr>
      <w:spacing w:after="240"/>
      <w:ind w:left="720"/>
    </w:pPr>
  </w:style>
  <w:style w:type="paragraph" w:styleId="TOC5">
    <w:name w:val="toc 5"/>
    <w:basedOn w:val="Normal"/>
    <w:next w:val="Normal"/>
    <w:autoRedefine/>
    <w:semiHidden/>
    <w:rsid w:val="00D34C61"/>
    <w:pPr>
      <w:spacing w:after="240"/>
      <w:ind w:left="965"/>
    </w:pPr>
  </w:style>
  <w:style w:type="paragraph" w:styleId="TOC6">
    <w:name w:val="toc 6"/>
    <w:basedOn w:val="Normal"/>
    <w:next w:val="Normal"/>
    <w:autoRedefine/>
    <w:semiHidden/>
    <w:rsid w:val="00D34C61"/>
    <w:pPr>
      <w:ind w:left="1200"/>
    </w:pPr>
  </w:style>
  <w:style w:type="paragraph" w:styleId="TOC7">
    <w:name w:val="toc 7"/>
    <w:basedOn w:val="Normal"/>
    <w:next w:val="Normal"/>
    <w:autoRedefine/>
    <w:semiHidden/>
    <w:rsid w:val="00D34C61"/>
    <w:pPr>
      <w:spacing w:after="240"/>
      <w:ind w:left="1440"/>
    </w:pPr>
  </w:style>
  <w:style w:type="paragraph" w:styleId="TOC8">
    <w:name w:val="toc 8"/>
    <w:basedOn w:val="Normal"/>
    <w:next w:val="Normal"/>
    <w:autoRedefine/>
    <w:semiHidden/>
    <w:rsid w:val="00D34C61"/>
    <w:pPr>
      <w:spacing w:after="240"/>
      <w:ind w:left="1685"/>
    </w:pPr>
  </w:style>
  <w:style w:type="paragraph" w:styleId="TOC9">
    <w:name w:val="toc 9"/>
    <w:basedOn w:val="Normal"/>
    <w:next w:val="Normal"/>
    <w:autoRedefine/>
    <w:semiHidden/>
    <w:rsid w:val="00D34C61"/>
    <w:pPr>
      <w:spacing w:after="240"/>
      <w:ind w:left="1915"/>
    </w:pPr>
  </w:style>
  <w:style w:type="paragraph" w:styleId="UnnumberedHeading1" w:customStyle="1">
    <w:name w:val="Unnumbered Heading 1"/>
    <w:basedOn w:val="Normal"/>
    <w:rsid w:val="003C7436"/>
    <w:pPr>
      <w:jc w:val="center"/>
    </w:pPr>
    <w:rPr>
      <w:b/>
      <w:caps/>
      <w:szCs w:val="20"/>
    </w:rPr>
  </w:style>
  <w:style w:type="paragraph" w:styleId="UnnumberedHeading2" w:customStyle="1">
    <w:name w:val="Unnumbered Heading 2"/>
    <w:basedOn w:val="Normal"/>
    <w:rsid w:val="003C7436"/>
    <w:pPr>
      <w:jc w:val="center"/>
    </w:pPr>
    <w:rPr>
      <w:b/>
      <w:i/>
      <w:szCs w:val="20"/>
    </w:rPr>
  </w:style>
  <w:style w:type="paragraph" w:styleId="UnnumberedHeading3" w:customStyle="1">
    <w:name w:val="Unnumbered Heading 3"/>
    <w:basedOn w:val="Normal"/>
    <w:rsid w:val="003C7436"/>
    <w:pPr>
      <w:jc w:val="center"/>
    </w:pPr>
    <w:rPr>
      <w:b/>
      <w:szCs w:val="20"/>
    </w:rPr>
  </w:style>
  <w:style w:type="paragraph" w:styleId="UnnumberedHeading4" w:customStyle="1">
    <w:name w:val="Unnumbered Heading 4"/>
    <w:basedOn w:val="Normal"/>
    <w:rsid w:val="003C7436"/>
    <w:pPr>
      <w:jc w:val="center"/>
    </w:pPr>
    <w:rPr>
      <w:i/>
      <w:szCs w:val="20"/>
    </w:rPr>
  </w:style>
  <w:style w:type="paragraph" w:styleId="UnnumberedHeading5" w:customStyle="1">
    <w:name w:val="Unnumbered Heading 5"/>
    <w:basedOn w:val="Normal"/>
    <w:rsid w:val="003C7436"/>
    <w:pPr>
      <w:jc w:val="center"/>
    </w:pPr>
    <w:rPr>
      <w:szCs w:val="20"/>
    </w:rPr>
  </w:style>
  <w:style w:type="character" w:styleId="BodyTextChar" w:customStyle="1">
    <w:name w:val="Body Text Char"/>
    <w:basedOn w:val="DefaultParagraphFont"/>
    <w:link w:val="BodyText"/>
    <w:rsid w:val="00671369"/>
    <w:rPr>
      <w:sz w:val="24"/>
      <w:szCs w:val="24"/>
    </w:rPr>
  </w:style>
  <w:style w:type="character" w:styleId="Hyperlink">
    <w:name w:val="Hyperlink"/>
    <w:basedOn w:val="DefaultParagraphFont"/>
    <w:unhideWhenUsed/>
    <w:rsid w:val="0034362E"/>
    <w:rPr>
      <w:color w:val="0000FF" w:themeColor="hyperlink"/>
      <w:u w:val="single"/>
    </w:rPr>
  </w:style>
  <w:style w:type="character" w:styleId="UnresolvedMention">
    <w:name w:val="Unresolved Mention"/>
    <w:basedOn w:val="DefaultParagraphFont"/>
    <w:uiPriority w:val="99"/>
    <w:semiHidden/>
    <w:unhideWhenUsed/>
    <w:rsid w:val="0034362E"/>
    <w:rPr>
      <w:color w:val="605E5C"/>
      <w:shd w:val="clear" w:color="auto" w:fill="E1DFDD"/>
    </w:rPr>
  </w:style>
  <w:style w:type="character" w:styleId="DocIDChar" w:customStyle="1">
    <w:name w:val="DocID Char"/>
    <w:basedOn w:val="BodyTextChar"/>
    <w:link w:val="DocID"/>
    <w:rsid w:val="00DD3C00"/>
    <w:rPr>
      <w:sz w:val="16"/>
      <w:szCs w:val="24"/>
      <w:lang w:val="en-US" w:eastAsia="en-US"/>
    </w:rPr>
  </w:style>
  <w:style w:type="character" w:styleId="FollowedHyperlink">
    <w:name w:val="FollowedHyperlink"/>
    <w:basedOn w:val="DefaultParagraphFont"/>
    <w:semiHidden/>
    <w:unhideWhenUsed/>
    <w:rsid w:val="009814F4"/>
    <w:rPr>
      <w:color w:val="800080" w:themeColor="followedHyperlink"/>
      <w:u w:val="single"/>
    </w:rPr>
  </w:style>
  <w:style w:type="paragraph" w:styleId="Revision">
    <w:name w:val="Revision"/>
    <w:hidden/>
    <w:uiPriority w:val="99"/>
    <w:semiHidden/>
    <w:rsid w:val="007A0A90"/>
    <w:rPr>
      <w:sz w:val="24"/>
      <w:szCs w:val="24"/>
    </w:rPr>
  </w:style>
  <w:style w:type="paragraph" w:styleId="ListParagraph">
    <w:name w:val="List Paragraph"/>
    <w:basedOn w:val="Normal"/>
    <w:uiPriority w:val="34"/>
    <w:qFormat/>
    <w:rsid w:val="000A7E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06319">
      <w:bodyDiv w:val="1"/>
      <w:marLeft w:val="0"/>
      <w:marRight w:val="0"/>
      <w:marTop w:val="0"/>
      <w:marBottom w:val="0"/>
      <w:divBdr>
        <w:top w:val="none" w:sz="0" w:space="0" w:color="auto"/>
        <w:left w:val="none" w:sz="0" w:space="0" w:color="auto"/>
        <w:bottom w:val="none" w:sz="0" w:space="0" w:color="auto"/>
        <w:right w:val="none" w:sz="0" w:space="0" w:color="auto"/>
      </w:divBdr>
    </w:div>
    <w:div w:id="219023972">
      <w:bodyDiv w:val="1"/>
      <w:marLeft w:val="0"/>
      <w:marRight w:val="0"/>
      <w:marTop w:val="0"/>
      <w:marBottom w:val="0"/>
      <w:divBdr>
        <w:top w:val="none" w:sz="0" w:space="0" w:color="auto"/>
        <w:left w:val="none" w:sz="0" w:space="0" w:color="auto"/>
        <w:bottom w:val="none" w:sz="0" w:space="0" w:color="auto"/>
        <w:right w:val="none" w:sz="0" w:space="0" w:color="auto"/>
      </w:divBdr>
    </w:div>
    <w:div w:id="595600924">
      <w:bodyDiv w:val="1"/>
      <w:marLeft w:val="0"/>
      <w:marRight w:val="0"/>
      <w:marTop w:val="0"/>
      <w:marBottom w:val="0"/>
      <w:divBdr>
        <w:top w:val="none" w:sz="0" w:space="0" w:color="auto"/>
        <w:left w:val="none" w:sz="0" w:space="0" w:color="auto"/>
        <w:bottom w:val="none" w:sz="0" w:space="0" w:color="auto"/>
        <w:right w:val="none" w:sz="0" w:space="0" w:color="auto"/>
      </w:divBdr>
    </w:div>
    <w:div w:id="600651543">
      <w:bodyDiv w:val="1"/>
      <w:marLeft w:val="0"/>
      <w:marRight w:val="0"/>
      <w:marTop w:val="0"/>
      <w:marBottom w:val="0"/>
      <w:divBdr>
        <w:top w:val="none" w:sz="0" w:space="0" w:color="auto"/>
        <w:left w:val="none" w:sz="0" w:space="0" w:color="auto"/>
        <w:bottom w:val="none" w:sz="0" w:space="0" w:color="auto"/>
        <w:right w:val="none" w:sz="0" w:space="0" w:color="auto"/>
      </w:divBdr>
    </w:div>
    <w:div w:id="735980414">
      <w:bodyDiv w:val="1"/>
      <w:marLeft w:val="0"/>
      <w:marRight w:val="0"/>
      <w:marTop w:val="0"/>
      <w:marBottom w:val="0"/>
      <w:divBdr>
        <w:top w:val="none" w:sz="0" w:space="0" w:color="auto"/>
        <w:left w:val="none" w:sz="0" w:space="0" w:color="auto"/>
        <w:bottom w:val="none" w:sz="0" w:space="0" w:color="auto"/>
        <w:right w:val="none" w:sz="0" w:space="0" w:color="auto"/>
      </w:divBdr>
    </w:div>
    <w:div w:id="742802704">
      <w:bodyDiv w:val="1"/>
      <w:marLeft w:val="0"/>
      <w:marRight w:val="0"/>
      <w:marTop w:val="0"/>
      <w:marBottom w:val="0"/>
      <w:divBdr>
        <w:top w:val="none" w:sz="0" w:space="0" w:color="auto"/>
        <w:left w:val="none" w:sz="0" w:space="0" w:color="auto"/>
        <w:bottom w:val="none" w:sz="0" w:space="0" w:color="auto"/>
        <w:right w:val="none" w:sz="0" w:space="0" w:color="auto"/>
      </w:divBdr>
      <w:divsChild>
        <w:div w:id="232198820">
          <w:marLeft w:val="0"/>
          <w:marRight w:val="0"/>
          <w:marTop w:val="0"/>
          <w:marBottom w:val="0"/>
          <w:divBdr>
            <w:top w:val="none" w:sz="0" w:space="0" w:color="auto"/>
            <w:left w:val="none" w:sz="0" w:space="0" w:color="auto"/>
            <w:bottom w:val="none" w:sz="0" w:space="0" w:color="auto"/>
            <w:right w:val="none" w:sz="0" w:space="0" w:color="auto"/>
          </w:divBdr>
          <w:divsChild>
            <w:div w:id="514805612">
              <w:marLeft w:val="0"/>
              <w:marRight w:val="0"/>
              <w:marTop w:val="0"/>
              <w:marBottom w:val="0"/>
              <w:divBdr>
                <w:top w:val="none" w:sz="0" w:space="0" w:color="auto"/>
                <w:left w:val="none" w:sz="0" w:space="0" w:color="auto"/>
                <w:bottom w:val="none" w:sz="0" w:space="0" w:color="auto"/>
                <w:right w:val="none" w:sz="0" w:space="0" w:color="auto"/>
              </w:divBdr>
              <w:divsChild>
                <w:div w:id="1350642648">
                  <w:marLeft w:val="0"/>
                  <w:marRight w:val="0"/>
                  <w:marTop w:val="0"/>
                  <w:marBottom w:val="0"/>
                  <w:divBdr>
                    <w:top w:val="none" w:sz="0" w:space="0" w:color="auto"/>
                    <w:left w:val="none" w:sz="0" w:space="0" w:color="auto"/>
                    <w:bottom w:val="none" w:sz="0" w:space="0" w:color="auto"/>
                    <w:right w:val="none" w:sz="0" w:space="0" w:color="auto"/>
                  </w:divBdr>
                  <w:divsChild>
                    <w:div w:id="1087195360">
                      <w:marLeft w:val="0"/>
                      <w:marRight w:val="0"/>
                      <w:marTop w:val="0"/>
                      <w:marBottom w:val="0"/>
                      <w:divBdr>
                        <w:top w:val="none" w:sz="0" w:space="0" w:color="auto"/>
                        <w:left w:val="none" w:sz="0" w:space="0" w:color="auto"/>
                        <w:bottom w:val="none" w:sz="0" w:space="0" w:color="auto"/>
                        <w:right w:val="none" w:sz="0" w:space="0" w:color="auto"/>
                      </w:divBdr>
                      <w:divsChild>
                        <w:div w:id="1526940355">
                          <w:marLeft w:val="0"/>
                          <w:marRight w:val="0"/>
                          <w:marTop w:val="0"/>
                          <w:marBottom w:val="0"/>
                          <w:divBdr>
                            <w:top w:val="none" w:sz="0" w:space="0" w:color="auto"/>
                            <w:left w:val="none" w:sz="0" w:space="0" w:color="auto"/>
                            <w:bottom w:val="none" w:sz="0" w:space="0" w:color="auto"/>
                            <w:right w:val="none" w:sz="0" w:space="0" w:color="auto"/>
                          </w:divBdr>
                          <w:divsChild>
                            <w:div w:id="1052462925">
                              <w:marLeft w:val="0"/>
                              <w:marRight w:val="0"/>
                              <w:marTop w:val="0"/>
                              <w:marBottom w:val="0"/>
                              <w:divBdr>
                                <w:top w:val="none" w:sz="0" w:space="0" w:color="auto"/>
                                <w:left w:val="none" w:sz="0" w:space="0" w:color="auto"/>
                                <w:bottom w:val="none" w:sz="0" w:space="0" w:color="auto"/>
                                <w:right w:val="none" w:sz="0" w:space="0" w:color="auto"/>
                              </w:divBdr>
                              <w:divsChild>
                                <w:div w:id="1440949973">
                                  <w:marLeft w:val="0"/>
                                  <w:marRight w:val="0"/>
                                  <w:marTop w:val="0"/>
                                  <w:marBottom w:val="0"/>
                                  <w:divBdr>
                                    <w:top w:val="none" w:sz="0" w:space="0" w:color="auto"/>
                                    <w:left w:val="none" w:sz="0" w:space="0" w:color="auto"/>
                                    <w:bottom w:val="none" w:sz="0" w:space="0" w:color="auto"/>
                                    <w:right w:val="none" w:sz="0" w:space="0" w:color="auto"/>
                                  </w:divBdr>
                                  <w:divsChild>
                                    <w:div w:id="43629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527583">
      <w:bodyDiv w:val="1"/>
      <w:marLeft w:val="0"/>
      <w:marRight w:val="0"/>
      <w:marTop w:val="0"/>
      <w:marBottom w:val="0"/>
      <w:divBdr>
        <w:top w:val="none" w:sz="0" w:space="0" w:color="auto"/>
        <w:left w:val="none" w:sz="0" w:space="0" w:color="auto"/>
        <w:bottom w:val="none" w:sz="0" w:space="0" w:color="auto"/>
        <w:right w:val="none" w:sz="0" w:space="0" w:color="auto"/>
      </w:divBdr>
    </w:div>
    <w:div w:id="1016686651">
      <w:bodyDiv w:val="1"/>
      <w:marLeft w:val="0"/>
      <w:marRight w:val="0"/>
      <w:marTop w:val="0"/>
      <w:marBottom w:val="0"/>
      <w:divBdr>
        <w:top w:val="none" w:sz="0" w:space="0" w:color="auto"/>
        <w:left w:val="none" w:sz="0" w:space="0" w:color="auto"/>
        <w:bottom w:val="none" w:sz="0" w:space="0" w:color="auto"/>
        <w:right w:val="none" w:sz="0" w:space="0" w:color="auto"/>
      </w:divBdr>
    </w:div>
    <w:div w:id="1426684029">
      <w:bodyDiv w:val="1"/>
      <w:marLeft w:val="0"/>
      <w:marRight w:val="0"/>
      <w:marTop w:val="0"/>
      <w:marBottom w:val="0"/>
      <w:divBdr>
        <w:top w:val="none" w:sz="0" w:space="0" w:color="auto"/>
        <w:left w:val="none" w:sz="0" w:space="0" w:color="auto"/>
        <w:bottom w:val="none" w:sz="0" w:space="0" w:color="auto"/>
        <w:right w:val="none" w:sz="0" w:space="0" w:color="auto"/>
      </w:divBdr>
    </w:div>
    <w:div w:id="1603344009">
      <w:bodyDiv w:val="1"/>
      <w:marLeft w:val="0"/>
      <w:marRight w:val="0"/>
      <w:marTop w:val="0"/>
      <w:marBottom w:val="0"/>
      <w:divBdr>
        <w:top w:val="none" w:sz="0" w:space="0" w:color="auto"/>
        <w:left w:val="none" w:sz="0" w:space="0" w:color="auto"/>
        <w:bottom w:val="none" w:sz="0" w:space="0" w:color="auto"/>
        <w:right w:val="none" w:sz="0" w:space="0" w:color="auto"/>
      </w:divBdr>
      <w:divsChild>
        <w:div w:id="1776710770">
          <w:marLeft w:val="0"/>
          <w:marRight w:val="0"/>
          <w:marTop w:val="0"/>
          <w:marBottom w:val="0"/>
          <w:divBdr>
            <w:top w:val="none" w:sz="0" w:space="0" w:color="auto"/>
            <w:left w:val="none" w:sz="0" w:space="0" w:color="auto"/>
            <w:bottom w:val="none" w:sz="0" w:space="0" w:color="auto"/>
            <w:right w:val="none" w:sz="0" w:space="0" w:color="auto"/>
          </w:divBdr>
          <w:divsChild>
            <w:div w:id="734284975">
              <w:marLeft w:val="0"/>
              <w:marRight w:val="0"/>
              <w:marTop w:val="0"/>
              <w:marBottom w:val="0"/>
              <w:divBdr>
                <w:top w:val="none" w:sz="0" w:space="0" w:color="auto"/>
                <w:left w:val="none" w:sz="0" w:space="0" w:color="auto"/>
                <w:bottom w:val="none" w:sz="0" w:space="0" w:color="auto"/>
                <w:right w:val="none" w:sz="0" w:space="0" w:color="auto"/>
              </w:divBdr>
              <w:divsChild>
                <w:div w:id="715590398">
                  <w:marLeft w:val="0"/>
                  <w:marRight w:val="0"/>
                  <w:marTop w:val="0"/>
                  <w:marBottom w:val="0"/>
                  <w:divBdr>
                    <w:top w:val="none" w:sz="0" w:space="0" w:color="auto"/>
                    <w:left w:val="none" w:sz="0" w:space="0" w:color="auto"/>
                    <w:bottom w:val="none" w:sz="0" w:space="0" w:color="auto"/>
                    <w:right w:val="none" w:sz="0" w:space="0" w:color="auto"/>
                  </w:divBdr>
                  <w:divsChild>
                    <w:div w:id="1414859794">
                      <w:marLeft w:val="0"/>
                      <w:marRight w:val="0"/>
                      <w:marTop w:val="0"/>
                      <w:marBottom w:val="0"/>
                      <w:divBdr>
                        <w:top w:val="none" w:sz="0" w:space="0" w:color="auto"/>
                        <w:left w:val="none" w:sz="0" w:space="0" w:color="auto"/>
                        <w:bottom w:val="none" w:sz="0" w:space="0" w:color="auto"/>
                        <w:right w:val="none" w:sz="0" w:space="0" w:color="auto"/>
                      </w:divBdr>
                      <w:divsChild>
                        <w:div w:id="930239086">
                          <w:marLeft w:val="0"/>
                          <w:marRight w:val="0"/>
                          <w:marTop w:val="0"/>
                          <w:marBottom w:val="0"/>
                          <w:divBdr>
                            <w:top w:val="none" w:sz="0" w:space="0" w:color="auto"/>
                            <w:left w:val="none" w:sz="0" w:space="0" w:color="auto"/>
                            <w:bottom w:val="none" w:sz="0" w:space="0" w:color="auto"/>
                            <w:right w:val="none" w:sz="0" w:space="0" w:color="auto"/>
                          </w:divBdr>
                          <w:divsChild>
                            <w:div w:id="1803502001">
                              <w:marLeft w:val="0"/>
                              <w:marRight w:val="0"/>
                              <w:marTop w:val="0"/>
                              <w:marBottom w:val="0"/>
                              <w:divBdr>
                                <w:top w:val="none" w:sz="0" w:space="0" w:color="auto"/>
                                <w:left w:val="none" w:sz="0" w:space="0" w:color="auto"/>
                                <w:bottom w:val="none" w:sz="0" w:space="0" w:color="auto"/>
                                <w:right w:val="none" w:sz="0" w:space="0" w:color="auto"/>
                              </w:divBdr>
                              <w:divsChild>
                                <w:div w:id="16122636">
                                  <w:marLeft w:val="0"/>
                                  <w:marRight w:val="0"/>
                                  <w:marTop w:val="0"/>
                                  <w:marBottom w:val="0"/>
                                  <w:divBdr>
                                    <w:top w:val="none" w:sz="0" w:space="0" w:color="auto"/>
                                    <w:left w:val="none" w:sz="0" w:space="0" w:color="auto"/>
                                    <w:bottom w:val="none" w:sz="0" w:space="0" w:color="auto"/>
                                    <w:right w:val="none" w:sz="0" w:space="0" w:color="auto"/>
                                  </w:divBdr>
                                  <w:divsChild>
                                    <w:div w:id="10827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049656">
      <w:bodyDiv w:val="1"/>
      <w:marLeft w:val="0"/>
      <w:marRight w:val="0"/>
      <w:marTop w:val="0"/>
      <w:marBottom w:val="0"/>
      <w:divBdr>
        <w:top w:val="none" w:sz="0" w:space="0" w:color="auto"/>
        <w:left w:val="none" w:sz="0" w:space="0" w:color="auto"/>
        <w:bottom w:val="none" w:sz="0" w:space="0" w:color="auto"/>
        <w:right w:val="none" w:sz="0" w:space="0" w:color="auto"/>
      </w:divBdr>
    </w:div>
    <w:div w:id="2036152275">
      <w:bodyDiv w:val="1"/>
      <w:marLeft w:val="0"/>
      <w:marRight w:val="0"/>
      <w:marTop w:val="0"/>
      <w:marBottom w:val="0"/>
      <w:divBdr>
        <w:top w:val="none" w:sz="0" w:space="0" w:color="auto"/>
        <w:left w:val="none" w:sz="0" w:space="0" w:color="auto"/>
        <w:bottom w:val="none" w:sz="0" w:space="0" w:color="auto"/>
        <w:right w:val="none" w:sz="0" w:space="0" w:color="auto"/>
      </w:divBdr>
    </w:div>
    <w:div w:id="207195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cookiefirst.com/google-consent-mode-v2-released/" TargetMode="External" Id="rId8" /><Relationship Type="http://schemas.openxmlformats.org/officeDocument/2006/relationships/hyperlink" Target="https://transcend.io/" TargetMode="External" Id="rId13" /><Relationship Type="http://schemas.openxmlformats.org/officeDocument/2006/relationships/footer" Target="footer2.xml"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image" Target="media/image1.png" Id="rId7" /><Relationship Type="http://schemas.openxmlformats.org/officeDocument/2006/relationships/hyperlink" Target="https://content.ketch.com/didomi-alternative?utm_term=didomi&amp;utm_campaign=SG+%7C+SR+%7C+US+%7C+COMP+%7C+DIDOMI&amp;utm_source=adwords&amp;utm_medium=ppc&amp;hsa_acc=5521373607&amp;hsa_cam=21323804343&amp;hsa_grp=171464243428&amp;hsa_ad=700667892846&amp;hsa_src=g&amp;hsa_tgt=kwd-770359032657&amp;hsa_kw=didomi&amp;hsa_mt=p&amp;hsa_net=adwords&amp;hsa_ver=3&amp;gad_source=1&amp;gclid=EAIaIQobChMIw5Sa27GJhwMVY9TCBB00OQhVEAAYASAAEgIOw_D_BwE" TargetMode="External" Id="rId12" /><Relationship Type="http://schemas.openxmlformats.org/officeDocument/2006/relationships/footer" Target="footer1.xml" Id="rId17" /><Relationship Type="http://schemas.openxmlformats.org/officeDocument/2006/relationships/styles" Target="styles.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osano.com/cookieconsent" TargetMode="External" Id="rId11" /><Relationship Type="http://schemas.openxmlformats.org/officeDocument/2006/relationships/footnotes" Target="footnotes.xml" Id="rId5" /><Relationship Type="http://schemas.openxmlformats.org/officeDocument/2006/relationships/header" Target="header1.xml" Id="rId15" /><Relationship Type="http://schemas.openxmlformats.org/officeDocument/2006/relationships/hyperlink" Target="https://www.onetrust.com/products/cookie-consent/" TargetMode="External" Id="rId10" /><Relationship Type="http://schemas.openxmlformats.org/officeDocument/2006/relationships/header" Target="header3.xml" Id="rId19" /><Relationship Type="http://schemas.openxmlformats.org/officeDocument/2006/relationships/webSettings" Target="webSettings.xml" Id="rId4" /><Relationship Type="http://schemas.openxmlformats.org/officeDocument/2006/relationships/hyperlink" Target="https://trustarc.com/" TargetMode="External" Id="rId9" /><Relationship Type="http://schemas.openxmlformats.org/officeDocument/2006/relationships/hyperlink" Target="https://www.cookieyes.com/"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1900-01-01T07:00:00.0000000Z</lastPrinted>
  <dcterms:created xsi:type="dcterms:W3CDTF">1900-01-01T07:00:00.0000000Z</dcterms:created>
  <dcterms:modified xsi:type="dcterms:W3CDTF">1900-01-01T07:00:00.0000000Z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104873716.2</vt:lpwstr>
  </property>
  <property fmtid="{D5CDD505-2E9C-101B-9397-08002B2CF9AE}" pid="3" name="CUS_DocIDChunk0">
    <vt:lpwstr>104873716.2</vt:lpwstr>
  </property>
  <property fmtid="{D5CDD505-2E9C-101B-9397-08002B2CF9AE}" pid="4" name="CUS_DocIDActiveBits">
    <vt:lpwstr>98304</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iManageFooter">
    <vt:lpwstr>#107243217v3&lt;ACTIVE&gt; - Consent Management Platform (CMP) Overview - CIPA Litigation Risk POV</vt:lpwstr>
  </property>
</Properties>
</file>